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A7C2E" w14:textId="0616CD9F" w:rsidR="00610266" w:rsidRPr="003836A1" w:rsidRDefault="00F95AB8" w:rsidP="003836A1">
      <w:pPr>
        <w:pStyle w:val="Ttulo2"/>
        <w:tabs>
          <w:tab w:val="left" w:pos="3741"/>
        </w:tabs>
        <w:ind w:left="3741" w:right="1" w:hanging="3741"/>
        <w:jc w:val="center"/>
      </w:pPr>
      <w:bookmarkStart w:id="0" w:name="bookmark=id.gjdgxs" w:colFirst="0" w:colLast="0"/>
      <w:bookmarkStart w:id="1" w:name="_GoBack"/>
      <w:bookmarkEnd w:id="0"/>
      <w:bookmarkEnd w:id="1"/>
      <w:r w:rsidRPr="003836A1">
        <w:t>PROYECTO DE ACUERDO No.</w:t>
      </w:r>
      <w:r w:rsidR="00F22522" w:rsidRPr="003836A1">
        <w:t xml:space="preserve">  </w:t>
      </w:r>
      <w:r w:rsidR="0025452A">
        <w:t>291</w:t>
      </w:r>
      <w:r w:rsidRPr="003836A1">
        <w:tab/>
        <w:t>DE 202</w:t>
      </w:r>
      <w:r w:rsidR="00956379" w:rsidRPr="003836A1">
        <w:t>5</w:t>
      </w:r>
    </w:p>
    <w:p w14:paraId="154A7C2F" w14:textId="77777777" w:rsidR="00610266" w:rsidRPr="003836A1" w:rsidRDefault="00610266" w:rsidP="003836A1">
      <w:pPr>
        <w:pStyle w:val="Ttulo2"/>
        <w:tabs>
          <w:tab w:val="left" w:pos="3741"/>
        </w:tabs>
        <w:ind w:left="0" w:right="1"/>
      </w:pPr>
    </w:p>
    <w:p w14:paraId="154A7C30" w14:textId="77777777" w:rsidR="00610266" w:rsidRPr="003836A1" w:rsidRDefault="00F95AB8" w:rsidP="003836A1">
      <w:pPr>
        <w:pStyle w:val="Ttulo2"/>
        <w:widowControl/>
        <w:ind w:left="0" w:right="9"/>
        <w:jc w:val="center"/>
      </w:pPr>
      <w:bookmarkStart w:id="2" w:name="_heading=h.emjaig2v2czj" w:colFirst="0" w:colLast="0"/>
      <w:bookmarkEnd w:id="2"/>
      <w:r w:rsidRPr="003836A1">
        <w:t>“POR EL CUAL SE BUSCA RECUPERAR LOS ESPACIOS PÚBLICOS O LUGARES ABIERTOS AL PÚBLICO PARA QUE SEAN SEGUROS Y LIBRES DE SUSTANCIAS PSICOACTIVAS ILÍCITAS EN BOGOTÁ</w:t>
      </w:r>
      <w:r w:rsidR="00394AEC" w:rsidRPr="003836A1">
        <w:t>"</w:t>
      </w:r>
    </w:p>
    <w:p w14:paraId="154A7C31" w14:textId="77777777" w:rsidR="00610266" w:rsidRPr="003836A1" w:rsidRDefault="00610266" w:rsidP="003836A1">
      <w:pPr>
        <w:pStyle w:val="Ttulo2"/>
        <w:ind w:left="0" w:right="9"/>
        <w:jc w:val="center"/>
      </w:pPr>
    </w:p>
    <w:p w14:paraId="154A7C32" w14:textId="77777777" w:rsidR="00610266" w:rsidRPr="003836A1" w:rsidRDefault="00F95AB8" w:rsidP="003836A1">
      <w:pPr>
        <w:pStyle w:val="Ttulo2"/>
        <w:numPr>
          <w:ilvl w:val="0"/>
          <w:numId w:val="13"/>
        </w:numPr>
        <w:tabs>
          <w:tab w:val="left" w:pos="404"/>
        </w:tabs>
        <w:ind w:hanging="285"/>
      </w:pPr>
      <w:r w:rsidRPr="003836A1">
        <w:t>OBJETO DEL PROYECTO</w:t>
      </w:r>
    </w:p>
    <w:p w14:paraId="154A7C33" w14:textId="77777777" w:rsidR="00610266" w:rsidRPr="003836A1" w:rsidRDefault="00610266" w:rsidP="003836A1">
      <w:pPr>
        <w:pStyle w:val="Ttulo2"/>
        <w:tabs>
          <w:tab w:val="left" w:pos="404"/>
        </w:tabs>
        <w:ind w:left="403"/>
      </w:pPr>
    </w:p>
    <w:p w14:paraId="154A7C34" w14:textId="77777777" w:rsidR="00610266" w:rsidRPr="003836A1" w:rsidRDefault="00F95AB8" w:rsidP="003836A1">
      <w:pPr>
        <w:pBdr>
          <w:top w:val="nil"/>
          <w:left w:val="nil"/>
          <w:bottom w:val="nil"/>
          <w:right w:val="nil"/>
          <w:between w:val="nil"/>
        </w:pBdr>
        <w:jc w:val="both"/>
        <w:rPr>
          <w:rFonts w:ascii="Arial" w:eastAsia="Arial" w:hAnsi="Arial" w:cs="Arial"/>
        </w:rPr>
      </w:pPr>
      <w:r w:rsidRPr="003836A1">
        <w:rPr>
          <w:rFonts w:ascii="Arial" w:eastAsia="Arial" w:hAnsi="Arial" w:cs="Arial"/>
        </w:rPr>
        <w:t>Establecer lineamientos para fortalecer, proteger, y mantener los perímetros del espacio público o lugares abiertos al público e instituciones o centros educativos distritales libres del consumo de sustancias psicoactivas ilícitas.</w:t>
      </w:r>
    </w:p>
    <w:p w14:paraId="154A7C35" w14:textId="77777777" w:rsidR="00610266" w:rsidRPr="003836A1" w:rsidRDefault="00610266" w:rsidP="003836A1">
      <w:pPr>
        <w:pBdr>
          <w:top w:val="nil"/>
          <w:left w:val="nil"/>
          <w:bottom w:val="nil"/>
          <w:right w:val="nil"/>
          <w:between w:val="nil"/>
        </w:pBdr>
        <w:jc w:val="both"/>
        <w:rPr>
          <w:rFonts w:ascii="Arial" w:eastAsia="Arial" w:hAnsi="Arial" w:cs="Arial"/>
        </w:rPr>
      </w:pPr>
    </w:p>
    <w:p w14:paraId="154A7C36" w14:textId="77777777" w:rsidR="00610266" w:rsidRPr="003836A1" w:rsidRDefault="00F95AB8" w:rsidP="003836A1">
      <w:pPr>
        <w:pBdr>
          <w:top w:val="nil"/>
          <w:left w:val="nil"/>
          <w:bottom w:val="nil"/>
          <w:right w:val="nil"/>
          <w:between w:val="nil"/>
        </w:pBdr>
        <w:jc w:val="both"/>
        <w:rPr>
          <w:rFonts w:ascii="Arial" w:eastAsia="Arial" w:hAnsi="Arial" w:cs="Arial"/>
        </w:rPr>
      </w:pPr>
      <w:r w:rsidRPr="003836A1">
        <w:rPr>
          <w:rFonts w:ascii="Arial" w:eastAsia="Arial" w:hAnsi="Arial" w:cs="Arial"/>
        </w:rPr>
        <w:t>Lo anterior con el propósito de prevenir y proteger a los niños, niñas y adolescentes para que dentro de su entorno no se evidencien prácticas que puedan servir como ejemplo e inducirlos a su consumo, así como prevenir las afectaciones y riesgos a su integridad y salud.</w:t>
      </w:r>
    </w:p>
    <w:p w14:paraId="154A7C37" w14:textId="77777777" w:rsidR="00610266" w:rsidRPr="003836A1" w:rsidRDefault="00610266" w:rsidP="003836A1">
      <w:pPr>
        <w:pBdr>
          <w:top w:val="nil"/>
          <w:left w:val="nil"/>
          <w:bottom w:val="nil"/>
          <w:right w:val="nil"/>
          <w:between w:val="nil"/>
        </w:pBdr>
        <w:jc w:val="both"/>
        <w:rPr>
          <w:rFonts w:ascii="Arial" w:eastAsia="Arial" w:hAnsi="Arial" w:cs="Arial"/>
        </w:rPr>
      </w:pPr>
    </w:p>
    <w:p w14:paraId="154A7C38" w14:textId="77777777" w:rsidR="00610266" w:rsidRPr="003836A1" w:rsidRDefault="00F95AB8" w:rsidP="003836A1">
      <w:pPr>
        <w:pStyle w:val="Ttulo2"/>
        <w:numPr>
          <w:ilvl w:val="0"/>
          <w:numId w:val="13"/>
        </w:numPr>
        <w:tabs>
          <w:tab w:val="left" w:pos="404"/>
        </w:tabs>
        <w:ind w:hanging="285"/>
      </w:pPr>
      <w:r w:rsidRPr="003836A1">
        <w:t>COMPETENCIA DEL CONCEJO DE BOGOTÁ D. C.</w:t>
      </w:r>
    </w:p>
    <w:p w14:paraId="154A7C39" w14:textId="77777777" w:rsidR="00610266" w:rsidRPr="003836A1" w:rsidRDefault="00610266" w:rsidP="003836A1">
      <w:pPr>
        <w:pBdr>
          <w:top w:val="nil"/>
          <w:left w:val="nil"/>
          <w:bottom w:val="nil"/>
          <w:right w:val="nil"/>
          <w:between w:val="nil"/>
        </w:pBdr>
        <w:rPr>
          <w:rFonts w:ascii="Arial" w:eastAsia="Arial" w:hAnsi="Arial" w:cs="Arial"/>
          <w:b/>
        </w:rPr>
      </w:pPr>
    </w:p>
    <w:p w14:paraId="154A7C3A" w14:textId="77777777" w:rsidR="00610266" w:rsidRPr="003836A1" w:rsidRDefault="00F95AB8" w:rsidP="003836A1">
      <w:pPr>
        <w:pBdr>
          <w:top w:val="nil"/>
          <w:left w:val="nil"/>
          <w:bottom w:val="nil"/>
          <w:right w:val="nil"/>
          <w:between w:val="nil"/>
        </w:pBdr>
        <w:ind w:right="111"/>
        <w:jc w:val="both"/>
        <w:rPr>
          <w:rFonts w:ascii="Arial" w:eastAsia="Arial" w:hAnsi="Arial" w:cs="Arial"/>
        </w:rPr>
      </w:pPr>
      <w:r w:rsidRPr="003836A1">
        <w:rPr>
          <w:rFonts w:ascii="Arial" w:eastAsia="Arial" w:hAnsi="Arial" w:cs="Arial"/>
        </w:rPr>
        <w:t>De conformidad con el numeral 1 del artículo 12 del Decreto Ley 1421 de 1993-Estatuto Orgánico de Bogotá D.C. es competente para:</w:t>
      </w:r>
    </w:p>
    <w:p w14:paraId="154A7C3B" w14:textId="77777777" w:rsidR="00610266" w:rsidRPr="003836A1" w:rsidRDefault="00610266" w:rsidP="003836A1">
      <w:pPr>
        <w:pBdr>
          <w:top w:val="nil"/>
          <w:left w:val="nil"/>
          <w:bottom w:val="nil"/>
          <w:right w:val="nil"/>
          <w:between w:val="nil"/>
        </w:pBdr>
        <w:jc w:val="both"/>
        <w:rPr>
          <w:rFonts w:ascii="Arial" w:eastAsia="Arial" w:hAnsi="Arial" w:cs="Arial"/>
        </w:rPr>
      </w:pPr>
    </w:p>
    <w:p w14:paraId="154A7C3C" w14:textId="77777777" w:rsidR="00610266" w:rsidRPr="003836A1" w:rsidRDefault="00F95AB8" w:rsidP="003836A1">
      <w:pPr>
        <w:ind w:left="830" w:right="111"/>
        <w:jc w:val="both"/>
        <w:rPr>
          <w:rFonts w:ascii="Arial" w:eastAsia="Arial" w:hAnsi="Arial" w:cs="Arial"/>
          <w:i/>
        </w:rPr>
      </w:pPr>
      <w:r w:rsidRPr="003836A1">
        <w:rPr>
          <w:rFonts w:ascii="Arial" w:eastAsia="Arial" w:hAnsi="Arial" w:cs="Arial"/>
          <w:i/>
        </w:rPr>
        <w:t>“</w:t>
      </w:r>
      <w:r w:rsidRPr="003836A1">
        <w:rPr>
          <w:rFonts w:ascii="Arial" w:eastAsia="Arial" w:hAnsi="Arial" w:cs="Arial"/>
          <w:b/>
          <w:i/>
        </w:rPr>
        <w:t>Artículo 12. Atribuciones</w:t>
      </w:r>
      <w:r w:rsidRPr="003836A1">
        <w:rPr>
          <w:rFonts w:ascii="Arial" w:eastAsia="Arial" w:hAnsi="Arial" w:cs="Arial"/>
          <w:i/>
        </w:rPr>
        <w:t>. Corresponde al Concejo Distrital, de conformidad con la Constitución y a la ley:</w:t>
      </w:r>
    </w:p>
    <w:p w14:paraId="154A7C3D" w14:textId="77777777" w:rsidR="00610266" w:rsidRPr="003836A1" w:rsidRDefault="00610266" w:rsidP="003836A1">
      <w:pPr>
        <w:pBdr>
          <w:top w:val="nil"/>
          <w:left w:val="nil"/>
          <w:bottom w:val="nil"/>
          <w:right w:val="nil"/>
          <w:between w:val="nil"/>
        </w:pBdr>
        <w:jc w:val="both"/>
        <w:rPr>
          <w:rFonts w:ascii="Arial" w:eastAsia="Arial" w:hAnsi="Arial" w:cs="Arial"/>
          <w:i/>
        </w:rPr>
      </w:pPr>
    </w:p>
    <w:p w14:paraId="154A7C3E" w14:textId="77777777" w:rsidR="00610266" w:rsidRPr="003836A1" w:rsidRDefault="00F95AB8" w:rsidP="003836A1">
      <w:pPr>
        <w:numPr>
          <w:ilvl w:val="1"/>
          <w:numId w:val="13"/>
        </w:numPr>
        <w:pBdr>
          <w:top w:val="nil"/>
          <w:left w:val="nil"/>
          <w:bottom w:val="nil"/>
          <w:right w:val="nil"/>
          <w:between w:val="nil"/>
        </w:pBdr>
        <w:tabs>
          <w:tab w:val="left" w:pos="1897"/>
        </w:tabs>
        <w:ind w:right="119" w:hanging="53"/>
        <w:jc w:val="both"/>
        <w:rPr>
          <w:rFonts w:ascii="Arial" w:eastAsia="Arial" w:hAnsi="Arial" w:cs="Arial"/>
          <w:i/>
        </w:rPr>
      </w:pPr>
      <w:r w:rsidRPr="003836A1">
        <w:rPr>
          <w:rFonts w:ascii="Arial" w:eastAsia="Arial" w:hAnsi="Arial" w:cs="Arial"/>
          <w:i/>
        </w:rPr>
        <w:t>Dictar las normas necesarias para garantizar el adecuado cumplimiento de las funciones y la eficiente prestación de los servicios a cargo del Distrito.</w:t>
      </w:r>
    </w:p>
    <w:p w14:paraId="154A7C3F" w14:textId="77777777" w:rsidR="00610266" w:rsidRPr="003836A1" w:rsidRDefault="00610266" w:rsidP="003836A1">
      <w:pPr>
        <w:tabs>
          <w:tab w:val="left" w:pos="1897"/>
        </w:tabs>
        <w:ind w:left="1535" w:right="119"/>
        <w:rPr>
          <w:rFonts w:ascii="Arial" w:eastAsia="Arial" w:hAnsi="Arial" w:cs="Arial"/>
          <w:i/>
        </w:rPr>
      </w:pPr>
    </w:p>
    <w:p w14:paraId="154A7C40" w14:textId="77777777" w:rsidR="00610266" w:rsidRPr="003836A1" w:rsidRDefault="00F95AB8" w:rsidP="003836A1">
      <w:pPr>
        <w:tabs>
          <w:tab w:val="left" w:pos="1897"/>
        </w:tabs>
        <w:ind w:left="1843" w:right="119"/>
        <w:rPr>
          <w:rFonts w:ascii="Arial" w:eastAsia="Arial" w:hAnsi="Arial" w:cs="Arial"/>
          <w:i/>
        </w:rPr>
      </w:pPr>
      <w:r w:rsidRPr="003836A1">
        <w:rPr>
          <w:rFonts w:ascii="Arial" w:eastAsia="Arial" w:hAnsi="Arial" w:cs="Arial"/>
          <w:i/>
        </w:rPr>
        <w:t>7. Dictar las normas necesarias para garantizar la preservación y defensa del patrimonio ecológico, los recursos naturales y el medio ambiente.</w:t>
      </w:r>
    </w:p>
    <w:p w14:paraId="154A7C41" w14:textId="77777777" w:rsidR="00610266" w:rsidRPr="003836A1" w:rsidRDefault="00610266" w:rsidP="003836A1">
      <w:pPr>
        <w:pBdr>
          <w:top w:val="nil"/>
          <w:left w:val="nil"/>
          <w:bottom w:val="nil"/>
          <w:right w:val="nil"/>
          <w:between w:val="nil"/>
        </w:pBdr>
        <w:jc w:val="both"/>
        <w:rPr>
          <w:rFonts w:ascii="Arial" w:eastAsia="Arial" w:hAnsi="Arial" w:cs="Arial"/>
          <w:i/>
        </w:rPr>
      </w:pPr>
    </w:p>
    <w:p w14:paraId="154A7C42" w14:textId="77777777" w:rsidR="00610266" w:rsidRPr="003836A1" w:rsidRDefault="00F95AB8" w:rsidP="003836A1">
      <w:pPr>
        <w:tabs>
          <w:tab w:val="left" w:pos="1897"/>
        </w:tabs>
        <w:ind w:left="1843" w:right="119"/>
        <w:rPr>
          <w:rFonts w:ascii="Arial" w:eastAsia="Arial" w:hAnsi="Arial" w:cs="Arial"/>
          <w:i/>
        </w:rPr>
      </w:pPr>
      <w:r w:rsidRPr="003836A1">
        <w:rPr>
          <w:rFonts w:ascii="Arial" w:eastAsia="Arial" w:hAnsi="Arial" w:cs="Arial"/>
          <w:i/>
        </w:rPr>
        <w:t>25. Cumplir las demás funciones que le asignen las disposiciones vigentes.</w:t>
      </w:r>
    </w:p>
    <w:p w14:paraId="154A7C43" w14:textId="77777777" w:rsidR="00610266" w:rsidRPr="003836A1" w:rsidRDefault="00610266" w:rsidP="003836A1">
      <w:pPr>
        <w:jc w:val="both"/>
        <w:rPr>
          <w:rFonts w:ascii="Arial" w:eastAsia="Arial" w:hAnsi="Arial" w:cs="Arial"/>
          <w:b/>
          <w:i/>
        </w:rPr>
      </w:pPr>
    </w:p>
    <w:p w14:paraId="154A7C44" w14:textId="77777777" w:rsidR="00610266" w:rsidRPr="003836A1" w:rsidRDefault="00F95AB8" w:rsidP="003836A1">
      <w:pPr>
        <w:ind w:left="851"/>
        <w:jc w:val="both"/>
        <w:rPr>
          <w:rFonts w:ascii="Arial" w:eastAsia="Arial" w:hAnsi="Arial" w:cs="Arial"/>
          <w:i/>
          <w:highlight w:val="white"/>
        </w:rPr>
      </w:pPr>
      <w:r w:rsidRPr="003836A1">
        <w:rPr>
          <w:rFonts w:ascii="Arial" w:eastAsia="Arial" w:hAnsi="Arial" w:cs="Arial"/>
          <w:i/>
          <w:highlight w:val="white"/>
        </w:rPr>
        <w:t xml:space="preserve"> “</w:t>
      </w:r>
      <w:r w:rsidRPr="003836A1">
        <w:rPr>
          <w:rFonts w:ascii="Arial" w:eastAsia="Arial" w:hAnsi="Arial" w:cs="Arial"/>
          <w:b/>
          <w:i/>
          <w:highlight w:val="white"/>
        </w:rPr>
        <w:t>Artículo</w:t>
      </w:r>
      <w:bookmarkStart w:id="3" w:name="bookmark=id.30j0zll" w:colFirst="0" w:colLast="0"/>
      <w:bookmarkEnd w:id="3"/>
      <w:r w:rsidRPr="003836A1">
        <w:rPr>
          <w:rFonts w:ascii="Arial" w:eastAsia="Arial" w:hAnsi="Arial" w:cs="Arial"/>
          <w:b/>
          <w:i/>
          <w:highlight w:val="white"/>
        </w:rPr>
        <w:t> 13. Iniciativa</w:t>
      </w:r>
      <w:r w:rsidRPr="003836A1">
        <w:rPr>
          <w:rFonts w:ascii="Arial" w:eastAsia="Arial" w:hAnsi="Arial" w:cs="Arial"/>
          <w:i/>
          <w:highlight w:val="white"/>
        </w:rPr>
        <w:t>. Los proyectos de acuerdo pueden ser presentados por los concejales y el alcalde mayor por conducto de sus secretarios, jefes de departamento administrativo o representantes legales de las entidades descentralizadas. El personero, el contralor y las juntas administradoras los pueden presentar en materias relacionadas con sus atribuciones. De conformidad con la respectiva ley estatutaria, los ciudadanos y las organizaciones sociales podrán presentar proyectos de acuerdo sobre temas de interés comunitario”.</w:t>
      </w:r>
    </w:p>
    <w:p w14:paraId="154A7C45" w14:textId="77777777" w:rsidR="00610266" w:rsidRPr="003836A1" w:rsidRDefault="00610266" w:rsidP="003836A1">
      <w:pPr>
        <w:jc w:val="both"/>
        <w:rPr>
          <w:rFonts w:ascii="Arial" w:eastAsia="Arial" w:hAnsi="Arial" w:cs="Arial"/>
          <w:i/>
          <w:highlight w:val="white"/>
        </w:rPr>
      </w:pPr>
    </w:p>
    <w:p w14:paraId="154A7C46"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Finalmente, el </w:t>
      </w:r>
      <w:r w:rsidRPr="003836A1">
        <w:rPr>
          <w:rFonts w:ascii="Arial" w:eastAsia="Arial" w:hAnsi="Arial" w:cs="Arial"/>
          <w:b/>
        </w:rPr>
        <w:t>Acuerdo 741 de 2019</w:t>
      </w:r>
      <w:r w:rsidRPr="003836A1">
        <w:rPr>
          <w:rFonts w:ascii="Arial" w:eastAsia="Arial" w:hAnsi="Arial" w:cs="Arial"/>
        </w:rPr>
        <w:t xml:space="preserve"> - Reglamento Interno Concejo de Bogotá D.C., establece:</w:t>
      </w:r>
    </w:p>
    <w:p w14:paraId="154A7C47" w14:textId="77777777" w:rsidR="00610266" w:rsidRPr="003836A1" w:rsidRDefault="00610266" w:rsidP="003836A1">
      <w:pPr>
        <w:jc w:val="both"/>
        <w:rPr>
          <w:rFonts w:ascii="Arial" w:eastAsia="Arial" w:hAnsi="Arial" w:cs="Arial"/>
        </w:rPr>
      </w:pPr>
    </w:p>
    <w:p w14:paraId="154A7C48" w14:textId="77777777" w:rsidR="00610266" w:rsidRPr="003836A1" w:rsidRDefault="00F95AB8" w:rsidP="003836A1">
      <w:pPr>
        <w:shd w:val="clear" w:color="auto" w:fill="FFFFFF"/>
        <w:ind w:left="567"/>
        <w:jc w:val="both"/>
        <w:rPr>
          <w:rFonts w:ascii="Arial" w:eastAsia="Arial" w:hAnsi="Arial" w:cs="Arial"/>
          <w:i/>
          <w:highlight w:val="white"/>
        </w:rPr>
      </w:pPr>
      <w:r w:rsidRPr="003836A1">
        <w:rPr>
          <w:rFonts w:ascii="Arial" w:eastAsia="Arial" w:hAnsi="Arial" w:cs="Arial"/>
          <w:b/>
          <w:i/>
          <w:highlight w:val="white"/>
        </w:rPr>
        <w:lastRenderedPageBreak/>
        <w:t>Artículo 34.- Comisión Segunda Permanente de Gobierno</w:t>
      </w:r>
      <w:r w:rsidRPr="003836A1">
        <w:rPr>
          <w:rFonts w:ascii="Arial" w:eastAsia="Arial" w:hAnsi="Arial" w:cs="Arial"/>
          <w:i/>
          <w:highlight w:val="white"/>
        </w:rPr>
        <w:t>. Es la encargada de ejercer la función normativa y de control político, exclusivamente al cumplimiento de los objetivos misionales de los Sectores Administrativos de: Educación; Integración Social; Gestión Pública; Gobierno; Seguridad, Convivencia y Justicia; Mujer; Gestión Jurídica y de sus entidades adscritas y vinculadas, organización administrativa en la estructura de la Administración Pública Distrital y en especial sobre los siguientes asuntos:</w:t>
      </w:r>
    </w:p>
    <w:p w14:paraId="154A7C49" w14:textId="77777777" w:rsidR="00610266" w:rsidRPr="003836A1" w:rsidRDefault="00F95AB8" w:rsidP="003836A1">
      <w:pPr>
        <w:shd w:val="clear" w:color="auto" w:fill="FFFFFF"/>
        <w:ind w:left="567"/>
        <w:jc w:val="both"/>
        <w:rPr>
          <w:rFonts w:ascii="Arial" w:eastAsia="Arial" w:hAnsi="Arial" w:cs="Arial"/>
          <w:i/>
          <w:highlight w:val="white"/>
        </w:rPr>
      </w:pPr>
      <w:r w:rsidRPr="003836A1">
        <w:rPr>
          <w:rFonts w:ascii="Arial" w:eastAsia="Arial" w:hAnsi="Arial" w:cs="Arial"/>
          <w:i/>
          <w:highlight w:val="white"/>
        </w:rPr>
        <w:t> </w:t>
      </w:r>
    </w:p>
    <w:p w14:paraId="154A7C4A" w14:textId="77777777" w:rsidR="00610266" w:rsidRPr="003836A1" w:rsidRDefault="00F95AB8" w:rsidP="003836A1">
      <w:pPr>
        <w:shd w:val="clear" w:color="auto" w:fill="FFFFFF"/>
        <w:ind w:left="567"/>
        <w:jc w:val="both"/>
        <w:rPr>
          <w:rFonts w:ascii="Arial" w:eastAsia="Arial" w:hAnsi="Arial" w:cs="Arial"/>
          <w:i/>
          <w:highlight w:val="white"/>
        </w:rPr>
      </w:pPr>
      <w:r w:rsidRPr="003836A1">
        <w:rPr>
          <w:rFonts w:ascii="Arial" w:eastAsia="Arial" w:hAnsi="Arial" w:cs="Arial"/>
          <w:i/>
          <w:highlight w:val="white"/>
        </w:rPr>
        <w:t>1.  Normas de policía, seguridad y convivencia ciudadana.</w:t>
      </w:r>
    </w:p>
    <w:p w14:paraId="154A7C4B" w14:textId="77777777" w:rsidR="00610266" w:rsidRPr="003836A1" w:rsidRDefault="00F95AB8" w:rsidP="003836A1">
      <w:pPr>
        <w:shd w:val="clear" w:color="auto" w:fill="FFFFFF"/>
        <w:ind w:left="567"/>
        <w:jc w:val="both"/>
        <w:rPr>
          <w:rFonts w:ascii="Arial" w:eastAsia="Arial" w:hAnsi="Arial" w:cs="Arial"/>
          <w:i/>
          <w:highlight w:val="white"/>
        </w:rPr>
      </w:pPr>
      <w:r w:rsidRPr="003836A1">
        <w:rPr>
          <w:rFonts w:ascii="Arial" w:eastAsia="Arial" w:hAnsi="Arial" w:cs="Arial"/>
          <w:i/>
          <w:highlight w:val="white"/>
        </w:rPr>
        <w:t>  </w:t>
      </w:r>
    </w:p>
    <w:p w14:paraId="154A7C4C" w14:textId="77777777" w:rsidR="00610266" w:rsidRPr="003836A1" w:rsidRDefault="00F95AB8" w:rsidP="003836A1">
      <w:pPr>
        <w:shd w:val="clear" w:color="auto" w:fill="FFFFFF"/>
        <w:ind w:left="567"/>
        <w:jc w:val="both"/>
        <w:rPr>
          <w:rFonts w:ascii="Arial" w:eastAsia="Arial" w:hAnsi="Arial" w:cs="Arial"/>
          <w:i/>
          <w:highlight w:val="white"/>
        </w:rPr>
      </w:pPr>
      <w:r w:rsidRPr="003836A1">
        <w:rPr>
          <w:rFonts w:ascii="Arial" w:eastAsia="Arial" w:hAnsi="Arial" w:cs="Arial"/>
          <w:i/>
          <w:highlight w:val="white"/>
        </w:rPr>
        <w:t>8. Bienestar e integración social de los habitantes del Distrito Capital.</w:t>
      </w:r>
    </w:p>
    <w:p w14:paraId="154A7C4D" w14:textId="77777777" w:rsidR="00610266" w:rsidRPr="003836A1" w:rsidRDefault="00610266" w:rsidP="003836A1">
      <w:pPr>
        <w:pBdr>
          <w:top w:val="nil"/>
          <w:left w:val="nil"/>
          <w:bottom w:val="nil"/>
          <w:right w:val="nil"/>
          <w:between w:val="nil"/>
        </w:pBdr>
        <w:rPr>
          <w:rFonts w:ascii="Arial" w:eastAsia="Arial" w:hAnsi="Arial" w:cs="Arial"/>
          <w:highlight w:val="white"/>
        </w:rPr>
      </w:pPr>
    </w:p>
    <w:p w14:paraId="154A7C4E" w14:textId="77777777" w:rsidR="00610266" w:rsidRPr="003836A1" w:rsidRDefault="00F95AB8" w:rsidP="003836A1">
      <w:pPr>
        <w:pStyle w:val="Ttulo2"/>
        <w:numPr>
          <w:ilvl w:val="0"/>
          <w:numId w:val="13"/>
        </w:numPr>
        <w:tabs>
          <w:tab w:val="left" w:pos="404"/>
        </w:tabs>
        <w:ind w:hanging="285"/>
        <w:rPr>
          <w:highlight w:val="white"/>
        </w:rPr>
      </w:pPr>
      <w:r w:rsidRPr="003836A1">
        <w:rPr>
          <w:highlight w:val="white"/>
        </w:rPr>
        <w:t>ANTECEDENTES</w:t>
      </w:r>
    </w:p>
    <w:p w14:paraId="154A7C4F" w14:textId="77777777" w:rsidR="00610266" w:rsidRPr="003836A1" w:rsidRDefault="00610266" w:rsidP="003836A1">
      <w:pPr>
        <w:pStyle w:val="Ttulo2"/>
        <w:tabs>
          <w:tab w:val="left" w:pos="404"/>
        </w:tabs>
        <w:ind w:firstLine="119"/>
        <w:rPr>
          <w:b w:val="0"/>
          <w:highlight w:val="white"/>
        </w:rPr>
      </w:pPr>
    </w:p>
    <w:p w14:paraId="154A7C50" w14:textId="77777777" w:rsidR="00610266" w:rsidRPr="003836A1" w:rsidRDefault="00610266" w:rsidP="003836A1">
      <w:pPr>
        <w:tabs>
          <w:tab w:val="left" w:pos="404"/>
        </w:tabs>
        <w:rPr>
          <w:rFonts w:ascii="Arial" w:hAnsi="Arial" w:cs="Arial"/>
        </w:rPr>
      </w:pPr>
    </w:p>
    <w:tbl>
      <w:tblPr>
        <w:tblStyle w:val="a"/>
        <w:tblW w:w="9076"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25"/>
        <w:gridCol w:w="6251"/>
      </w:tblGrid>
      <w:tr w:rsidR="003836A1" w:rsidRPr="003836A1" w14:paraId="154A7C53" w14:textId="77777777" w:rsidTr="007022DD">
        <w:tc>
          <w:tcPr>
            <w:tcW w:w="2825" w:type="dxa"/>
            <w:shd w:val="clear" w:color="auto" w:fill="auto"/>
            <w:tcMar>
              <w:top w:w="100" w:type="dxa"/>
              <w:left w:w="100" w:type="dxa"/>
              <w:bottom w:w="100" w:type="dxa"/>
              <w:right w:w="100" w:type="dxa"/>
            </w:tcMar>
          </w:tcPr>
          <w:p w14:paraId="154A7C51" w14:textId="77777777" w:rsidR="00610266" w:rsidRPr="003836A1" w:rsidRDefault="00F95AB8" w:rsidP="003836A1">
            <w:pPr>
              <w:pBdr>
                <w:top w:val="nil"/>
                <w:left w:val="nil"/>
                <w:bottom w:val="nil"/>
                <w:right w:val="nil"/>
                <w:between w:val="nil"/>
              </w:pBdr>
              <w:jc w:val="center"/>
              <w:rPr>
                <w:rFonts w:ascii="Arial" w:hAnsi="Arial" w:cs="Arial"/>
                <w:b/>
              </w:rPr>
            </w:pPr>
            <w:r w:rsidRPr="003836A1">
              <w:rPr>
                <w:rFonts w:ascii="Arial" w:hAnsi="Arial" w:cs="Arial"/>
                <w:b/>
              </w:rPr>
              <w:t>Proyecto de Acuerdo</w:t>
            </w:r>
          </w:p>
        </w:tc>
        <w:tc>
          <w:tcPr>
            <w:tcW w:w="6251" w:type="dxa"/>
            <w:shd w:val="clear" w:color="auto" w:fill="auto"/>
            <w:tcMar>
              <w:top w:w="100" w:type="dxa"/>
              <w:left w:w="100" w:type="dxa"/>
              <w:bottom w:w="100" w:type="dxa"/>
              <w:right w:w="100" w:type="dxa"/>
            </w:tcMar>
          </w:tcPr>
          <w:p w14:paraId="154A7C52" w14:textId="77777777" w:rsidR="00610266" w:rsidRPr="003836A1" w:rsidRDefault="00F95AB8" w:rsidP="003836A1">
            <w:pPr>
              <w:pBdr>
                <w:top w:val="nil"/>
                <w:left w:val="nil"/>
                <w:bottom w:val="nil"/>
                <w:right w:val="nil"/>
                <w:between w:val="nil"/>
              </w:pBdr>
              <w:jc w:val="center"/>
              <w:rPr>
                <w:rFonts w:ascii="Arial" w:hAnsi="Arial" w:cs="Arial"/>
                <w:b/>
              </w:rPr>
            </w:pPr>
            <w:r w:rsidRPr="003836A1">
              <w:rPr>
                <w:rFonts w:ascii="Arial" w:hAnsi="Arial" w:cs="Arial"/>
                <w:b/>
              </w:rPr>
              <w:t>Trámite</w:t>
            </w:r>
          </w:p>
        </w:tc>
      </w:tr>
      <w:tr w:rsidR="003836A1" w:rsidRPr="003836A1" w14:paraId="154A7C58" w14:textId="77777777" w:rsidTr="007022DD">
        <w:tc>
          <w:tcPr>
            <w:tcW w:w="2825" w:type="dxa"/>
            <w:shd w:val="clear" w:color="auto" w:fill="auto"/>
            <w:tcMar>
              <w:top w:w="100" w:type="dxa"/>
              <w:left w:w="100" w:type="dxa"/>
              <w:bottom w:w="100" w:type="dxa"/>
              <w:right w:w="100" w:type="dxa"/>
            </w:tcMar>
          </w:tcPr>
          <w:p w14:paraId="154A7C54" w14:textId="77777777" w:rsidR="00610266" w:rsidRPr="003836A1" w:rsidRDefault="00F95AB8" w:rsidP="003836A1">
            <w:pPr>
              <w:pBdr>
                <w:top w:val="nil"/>
                <w:left w:val="nil"/>
                <w:bottom w:val="nil"/>
                <w:right w:val="nil"/>
                <w:between w:val="nil"/>
              </w:pBdr>
              <w:jc w:val="center"/>
              <w:rPr>
                <w:rFonts w:ascii="Arial" w:hAnsi="Arial" w:cs="Arial"/>
              </w:rPr>
            </w:pPr>
            <w:r w:rsidRPr="003836A1">
              <w:rPr>
                <w:rFonts w:ascii="Arial" w:hAnsi="Arial" w:cs="Arial"/>
              </w:rPr>
              <w:t xml:space="preserve">756 de 2023 </w:t>
            </w:r>
          </w:p>
        </w:tc>
        <w:tc>
          <w:tcPr>
            <w:tcW w:w="6251" w:type="dxa"/>
            <w:shd w:val="clear" w:color="auto" w:fill="auto"/>
            <w:tcMar>
              <w:top w:w="100" w:type="dxa"/>
              <w:left w:w="100" w:type="dxa"/>
              <w:bottom w:w="100" w:type="dxa"/>
              <w:right w:w="100" w:type="dxa"/>
            </w:tcMar>
          </w:tcPr>
          <w:p w14:paraId="154A7C55" w14:textId="77777777" w:rsidR="00610266" w:rsidRPr="003836A1" w:rsidRDefault="00F95AB8" w:rsidP="003836A1">
            <w:pPr>
              <w:pBdr>
                <w:top w:val="nil"/>
                <w:left w:val="nil"/>
                <w:bottom w:val="nil"/>
                <w:right w:val="nil"/>
                <w:between w:val="nil"/>
              </w:pBdr>
              <w:jc w:val="both"/>
              <w:rPr>
                <w:rFonts w:ascii="Arial" w:hAnsi="Arial" w:cs="Arial"/>
              </w:rPr>
            </w:pPr>
            <w:r w:rsidRPr="003836A1">
              <w:rPr>
                <w:rFonts w:ascii="Arial" w:hAnsi="Arial" w:cs="Arial"/>
              </w:rPr>
              <w:t xml:space="preserve">La iniciativa fue presentada el 15 de diciembre de 2023, radicada con el No. 2023IE17905. </w:t>
            </w:r>
          </w:p>
          <w:p w14:paraId="154A7C56" w14:textId="77777777" w:rsidR="00610266" w:rsidRPr="003836A1" w:rsidRDefault="00610266" w:rsidP="003836A1">
            <w:pPr>
              <w:pBdr>
                <w:top w:val="nil"/>
                <w:left w:val="nil"/>
                <w:bottom w:val="nil"/>
                <w:right w:val="nil"/>
                <w:between w:val="nil"/>
              </w:pBdr>
              <w:jc w:val="both"/>
              <w:rPr>
                <w:rFonts w:ascii="Arial" w:hAnsi="Arial" w:cs="Arial"/>
              </w:rPr>
            </w:pPr>
          </w:p>
          <w:p w14:paraId="154A7C57" w14:textId="77777777" w:rsidR="00610266" w:rsidRPr="003836A1" w:rsidRDefault="00F95AB8" w:rsidP="003836A1">
            <w:pPr>
              <w:pBdr>
                <w:top w:val="nil"/>
                <w:left w:val="nil"/>
                <w:bottom w:val="nil"/>
                <w:right w:val="nil"/>
                <w:between w:val="nil"/>
              </w:pBdr>
              <w:jc w:val="both"/>
              <w:rPr>
                <w:rFonts w:ascii="Arial" w:hAnsi="Arial" w:cs="Arial"/>
              </w:rPr>
            </w:pPr>
            <w:r w:rsidRPr="003836A1">
              <w:rPr>
                <w:rFonts w:ascii="Arial" w:hAnsi="Arial" w:cs="Arial"/>
              </w:rPr>
              <w:t xml:space="preserve">El proyecto se archivó de conformidad con el Reglamento Interno de la Corporación. </w:t>
            </w:r>
          </w:p>
        </w:tc>
      </w:tr>
      <w:tr w:rsidR="003836A1" w:rsidRPr="003836A1" w14:paraId="154A7C62" w14:textId="77777777" w:rsidTr="007022DD">
        <w:tc>
          <w:tcPr>
            <w:tcW w:w="2825" w:type="dxa"/>
            <w:shd w:val="clear" w:color="auto" w:fill="auto"/>
            <w:tcMar>
              <w:top w:w="100" w:type="dxa"/>
              <w:left w:w="100" w:type="dxa"/>
              <w:bottom w:w="100" w:type="dxa"/>
              <w:right w:w="100" w:type="dxa"/>
            </w:tcMar>
          </w:tcPr>
          <w:p w14:paraId="154A7C59" w14:textId="77777777" w:rsidR="00956379" w:rsidRPr="003836A1" w:rsidRDefault="007022DD" w:rsidP="003836A1">
            <w:pPr>
              <w:pBdr>
                <w:top w:val="nil"/>
                <w:left w:val="nil"/>
                <w:bottom w:val="nil"/>
                <w:right w:val="nil"/>
                <w:between w:val="nil"/>
              </w:pBdr>
              <w:jc w:val="center"/>
              <w:rPr>
                <w:rFonts w:ascii="Arial" w:hAnsi="Arial" w:cs="Arial"/>
              </w:rPr>
            </w:pPr>
            <w:r w:rsidRPr="003836A1">
              <w:rPr>
                <w:rFonts w:ascii="Arial" w:hAnsi="Arial" w:cs="Arial"/>
              </w:rPr>
              <w:t xml:space="preserve">080 de 2024 </w:t>
            </w:r>
          </w:p>
        </w:tc>
        <w:tc>
          <w:tcPr>
            <w:tcW w:w="6251" w:type="dxa"/>
            <w:shd w:val="clear" w:color="auto" w:fill="auto"/>
            <w:tcMar>
              <w:top w:w="100" w:type="dxa"/>
              <w:left w:w="100" w:type="dxa"/>
              <w:bottom w:w="100" w:type="dxa"/>
              <w:right w:w="100" w:type="dxa"/>
            </w:tcMar>
          </w:tcPr>
          <w:p w14:paraId="154A7C5A" w14:textId="77777777" w:rsidR="00956379" w:rsidRPr="003836A1" w:rsidRDefault="007022DD" w:rsidP="003836A1">
            <w:pPr>
              <w:pBdr>
                <w:top w:val="nil"/>
                <w:left w:val="nil"/>
                <w:bottom w:val="nil"/>
                <w:right w:val="nil"/>
                <w:between w:val="nil"/>
              </w:pBdr>
              <w:jc w:val="both"/>
              <w:rPr>
                <w:rFonts w:ascii="Arial" w:hAnsi="Arial" w:cs="Arial"/>
              </w:rPr>
            </w:pPr>
            <w:r w:rsidRPr="003836A1">
              <w:rPr>
                <w:rFonts w:ascii="Arial" w:hAnsi="Arial" w:cs="Arial"/>
              </w:rPr>
              <w:t xml:space="preserve">El proyecto fue radicado el 10 de enero de 2024 y remitido a la Comisión de Gobierno el 24 de enero de 2024. </w:t>
            </w:r>
          </w:p>
          <w:p w14:paraId="154A7C5B" w14:textId="77777777" w:rsidR="007022DD" w:rsidRPr="003836A1" w:rsidRDefault="007022DD" w:rsidP="003836A1">
            <w:pPr>
              <w:pBdr>
                <w:top w:val="nil"/>
                <w:left w:val="nil"/>
                <w:bottom w:val="nil"/>
                <w:right w:val="nil"/>
                <w:between w:val="nil"/>
              </w:pBdr>
              <w:jc w:val="both"/>
              <w:rPr>
                <w:rFonts w:ascii="Arial" w:hAnsi="Arial" w:cs="Arial"/>
              </w:rPr>
            </w:pPr>
          </w:p>
          <w:p w14:paraId="154A7C5C" w14:textId="77777777" w:rsidR="007022DD" w:rsidRPr="003836A1" w:rsidRDefault="007022DD" w:rsidP="003836A1">
            <w:pPr>
              <w:pBdr>
                <w:top w:val="nil"/>
                <w:left w:val="nil"/>
                <w:bottom w:val="nil"/>
                <w:right w:val="nil"/>
                <w:between w:val="nil"/>
              </w:pBdr>
              <w:jc w:val="both"/>
              <w:rPr>
                <w:rFonts w:ascii="Arial" w:hAnsi="Arial" w:cs="Arial"/>
              </w:rPr>
            </w:pPr>
            <w:r w:rsidRPr="003836A1">
              <w:rPr>
                <w:rFonts w:ascii="Arial" w:hAnsi="Arial" w:cs="Arial"/>
              </w:rPr>
              <w:t xml:space="preserve">La iniciativa fue acumulada con los proyectos 025, 044, 071, 130, 170 y 199 de 2024. </w:t>
            </w:r>
          </w:p>
          <w:p w14:paraId="154A7C5D" w14:textId="77777777" w:rsidR="004C373C" w:rsidRPr="003836A1" w:rsidRDefault="004C373C" w:rsidP="003836A1">
            <w:pPr>
              <w:pBdr>
                <w:top w:val="nil"/>
                <w:left w:val="nil"/>
                <w:bottom w:val="nil"/>
                <w:right w:val="nil"/>
                <w:between w:val="nil"/>
              </w:pBdr>
              <w:jc w:val="both"/>
              <w:rPr>
                <w:rFonts w:ascii="Arial" w:hAnsi="Arial" w:cs="Arial"/>
              </w:rPr>
            </w:pPr>
          </w:p>
          <w:p w14:paraId="154A7C5E" w14:textId="77777777" w:rsidR="004C373C" w:rsidRPr="003836A1" w:rsidRDefault="004C373C" w:rsidP="003836A1">
            <w:pPr>
              <w:pBdr>
                <w:top w:val="nil"/>
                <w:left w:val="nil"/>
                <w:bottom w:val="nil"/>
                <w:right w:val="nil"/>
                <w:between w:val="nil"/>
              </w:pBdr>
              <w:jc w:val="both"/>
              <w:rPr>
                <w:rFonts w:ascii="Arial" w:hAnsi="Arial" w:cs="Arial"/>
              </w:rPr>
            </w:pPr>
            <w:r w:rsidRPr="003836A1">
              <w:rPr>
                <w:rFonts w:ascii="Arial" w:hAnsi="Arial" w:cs="Arial"/>
              </w:rPr>
              <w:t xml:space="preserve">Los concejales Juan Daniel Oviedo y Juan Javier Baena rindieron ponencia positiva conjunta con modificaciones. </w:t>
            </w:r>
          </w:p>
          <w:p w14:paraId="154A7C5F" w14:textId="77777777" w:rsidR="0019511F" w:rsidRPr="003836A1" w:rsidRDefault="0019511F" w:rsidP="003836A1">
            <w:pPr>
              <w:pBdr>
                <w:top w:val="nil"/>
                <w:left w:val="nil"/>
                <w:bottom w:val="nil"/>
                <w:right w:val="nil"/>
                <w:between w:val="nil"/>
              </w:pBdr>
              <w:jc w:val="both"/>
              <w:rPr>
                <w:rFonts w:ascii="Arial" w:hAnsi="Arial" w:cs="Arial"/>
              </w:rPr>
            </w:pPr>
          </w:p>
          <w:p w14:paraId="154A7C60" w14:textId="77777777" w:rsidR="0019511F" w:rsidRPr="003836A1" w:rsidRDefault="0019511F" w:rsidP="003836A1">
            <w:pPr>
              <w:jc w:val="both"/>
              <w:rPr>
                <w:rFonts w:ascii="Arial" w:hAnsi="Arial" w:cs="Arial"/>
              </w:rPr>
            </w:pPr>
            <w:r w:rsidRPr="003836A1">
              <w:rPr>
                <w:rFonts w:ascii="Arial" w:hAnsi="Arial" w:cs="Arial"/>
              </w:rPr>
              <w:t xml:space="preserve">Archivado de conformidad con el artículo 79 del Acuerdo 741 de 2019, modificado por el artículo 17 del Acuerdo 837 de 2022, por no discutirse en las sesiones ordinarias del mes de febrero de 2024.   </w:t>
            </w:r>
          </w:p>
          <w:p w14:paraId="154A7C61" w14:textId="77777777" w:rsidR="0019511F" w:rsidRPr="003836A1" w:rsidRDefault="0019511F" w:rsidP="003836A1">
            <w:pPr>
              <w:pBdr>
                <w:top w:val="nil"/>
                <w:left w:val="nil"/>
                <w:bottom w:val="nil"/>
                <w:right w:val="nil"/>
                <w:between w:val="nil"/>
              </w:pBdr>
              <w:jc w:val="both"/>
              <w:rPr>
                <w:rFonts w:ascii="Arial" w:hAnsi="Arial" w:cs="Arial"/>
              </w:rPr>
            </w:pPr>
          </w:p>
        </w:tc>
      </w:tr>
      <w:tr w:rsidR="003836A1" w:rsidRPr="003836A1" w14:paraId="154A7C6B" w14:textId="77777777" w:rsidTr="007022DD">
        <w:tc>
          <w:tcPr>
            <w:tcW w:w="2825" w:type="dxa"/>
            <w:shd w:val="clear" w:color="auto" w:fill="auto"/>
            <w:tcMar>
              <w:top w:w="100" w:type="dxa"/>
              <w:left w:w="100" w:type="dxa"/>
              <w:bottom w:w="100" w:type="dxa"/>
              <w:right w:w="100" w:type="dxa"/>
            </w:tcMar>
          </w:tcPr>
          <w:p w14:paraId="154A7C63" w14:textId="77777777" w:rsidR="007022DD" w:rsidRPr="003836A1" w:rsidRDefault="007022DD" w:rsidP="003836A1">
            <w:pPr>
              <w:pBdr>
                <w:top w:val="nil"/>
                <w:left w:val="nil"/>
                <w:bottom w:val="nil"/>
                <w:right w:val="nil"/>
                <w:between w:val="nil"/>
              </w:pBdr>
              <w:jc w:val="center"/>
              <w:rPr>
                <w:rFonts w:ascii="Arial" w:hAnsi="Arial" w:cs="Arial"/>
              </w:rPr>
            </w:pPr>
            <w:r w:rsidRPr="003836A1">
              <w:rPr>
                <w:rFonts w:ascii="Arial" w:hAnsi="Arial" w:cs="Arial"/>
              </w:rPr>
              <w:t>291 de 2024</w:t>
            </w:r>
          </w:p>
        </w:tc>
        <w:tc>
          <w:tcPr>
            <w:tcW w:w="6251" w:type="dxa"/>
            <w:shd w:val="clear" w:color="auto" w:fill="auto"/>
            <w:tcMar>
              <w:top w:w="100" w:type="dxa"/>
              <w:left w:w="100" w:type="dxa"/>
              <w:bottom w:w="100" w:type="dxa"/>
              <w:right w:w="100" w:type="dxa"/>
            </w:tcMar>
          </w:tcPr>
          <w:p w14:paraId="154A7C64" w14:textId="77777777" w:rsidR="007022DD" w:rsidRPr="003836A1" w:rsidRDefault="007022DD" w:rsidP="003836A1">
            <w:pPr>
              <w:pBdr>
                <w:top w:val="nil"/>
                <w:left w:val="nil"/>
                <w:bottom w:val="nil"/>
                <w:right w:val="nil"/>
                <w:between w:val="nil"/>
              </w:pBdr>
              <w:jc w:val="both"/>
              <w:rPr>
                <w:rFonts w:ascii="Arial" w:hAnsi="Arial" w:cs="Arial"/>
              </w:rPr>
            </w:pPr>
            <w:r w:rsidRPr="003836A1">
              <w:rPr>
                <w:rFonts w:ascii="Arial" w:hAnsi="Arial" w:cs="Arial"/>
              </w:rPr>
              <w:t xml:space="preserve">El proyecto fue radicado el 22 de marzo de 2024 y remitido a la Comisión de Gobierno el 10 de abril de 2024. </w:t>
            </w:r>
          </w:p>
          <w:p w14:paraId="154A7C65" w14:textId="77777777" w:rsidR="007022DD" w:rsidRPr="003836A1" w:rsidRDefault="007022DD" w:rsidP="003836A1">
            <w:pPr>
              <w:pBdr>
                <w:top w:val="nil"/>
                <w:left w:val="nil"/>
                <w:bottom w:val="nil"/>
                <w:right w:val="nil"/>
                <w:between w:val="nil"/>
              </w:pBdr>
              <w:jc w:val="both"/>
              <w:rPr>
                <w:rFonts w:ascii="Arial" w:hAnsi="Arial" w:cs="Arial"/>
              </w:rPr>
            </w:pPr>
          </w:p>
          <w:p w14:paraId="154A7C66" w14:textId="77777777" w:rsidR="007022DD" w:rsidRPr="003836A1" w:rsidRDefault="007022DD" w:rsidP="003836A1">
            <w:pPr>
              <w:pBdr>
                <w:top w:val="nil"/>
                <w:left w:val="nil"/>
                <w:bottom w:val="nil"/>
                <w:right w:val="nil"/>
                <w:between w:val="nil"/>
              </w:pBdr>
              <w:jc w:val="both"/>
              <w:rPr>
                <w:rFonts w:ascii="Arial" w:hAnsi="Arial" w:cs="Arial"/>
              </w:rPr>
            </w:pPr>
            <w:r w:rsidRPr="003836A1">
              <w:rPr>
                <w:rFonts w:ascii="Arial" w:hAnsi="Arial" w:cs="Arial"/>
              </w:rPr>
              <w:t xml:space="preserve">La iniciativa fue acumulada con los proyectos 301, 303, 331, 370, 372 y 375 de 2024. </w:t>
            </w:r>
          </w:p>
          <w:p w14:paraId="154A7C67" w14:textId="77777777" w:rsidR="004C373C" w:rsidRPr="003836A1" w:rsidRDefault="004C373C" w:rsidP="003836A1">
            <w:pPr>
              <w:pBdr>
                <w:top w:val="nil"/>
                <w:left w:val="nil"/>
                <w:bottom w:val="nil"/>
                <w:right w:val="nil"/>
                <w:between w:val="nil"/>
              </w:pBdr>
              <w:jc w:val="both"/>
              <w:rPr>
                <w:rFonts w:ascii="Arial" w:hAnsi="Arial" w:cs="Arial"/>
              </w:rPr>
            </w:pPr>
          </w:p>
          <w:p w14:paraId="154A7C68" w14:textId="77777777" w:rsidR="004C373C" w:rsidRPr="003836A1" w:rsidRDefault="004C373C" w:rsidP="003836A1">
            <w:pPr>
              <w:pBdr>
                <w:top w:val="nil"/>
                <w:left w:val="nil"/>
                <w:bottom w:val="nil"/>
                <w:right w:val="nil"/>
                <w:between w:val="nil"/>
              </w:pBdr>
              <w:jc w:val="both"/>
              <w:rPr>
                <w:rFonts w:ascii="Arial" w:hAnsi="Arial" w:cs="Arial"/>
              </w:rPr>
            </w:pPr>
            <w:r w:rsidRPr="003836A1">
              <w:rPr>
                <w:rFonts w:ascii="Arial" w:hAnsi="Arial" w:cs="Arial"/>
              </w:rPr>
              <w:t>Los concejales Juan Daniel Oviedo y Juan Javier Baena rindieron ponencia positiva conjunta con modificaciones.</w:t>
            </w:r>
          </w:p>
          <w:p w14:paraId="154A7C69" w14:textId="77777777" w:rsidR="0019511F" w:rsidRPr="003836A1" w:rsidRDefault="0019511F" w:rsidP="003836A1">
            <w:pPr>
              <w:jc w:val="both"/>
              <w:rPr>
                <w:rFonts w:ascii="Arial" w:hAnsi="Arial" w:cs="Arial"/>
              </w:rPr>
            </w:pPr>
            <w:r w:rsidRPr="003836A1">
              <w:rPr>
                <w:rFonts w:ascii="Arial" w:hAnsi="Arial" w:cs="Arial"/>
              </w:rPr>
              <w:lastRenderedPageBreak/>
              <w:t xml:space="preserve">Archivado de conformidad con el artículo 79 del Acuerdo 741 de 2019, modificado por el artículo 17 del Acuerdo 837 de 2022, por no discutirse en las sesiones ordinarias del mes de mayo de 2024.   </w:t>
            </w:r>
          </w:p>
          <w:p w14:paraId="154A7C6A" w14:textId="77777777" w:rsidR="0019511F" w:rsidRPr="003836A1" w:rsidRDefault="0019511F" w:rsidP="003836A1">
            <w:pPr>
              <w:pBdr>
                <w:top w:val="nil"/>
                <w:left w:val="nil"/>
                <w:bottom w:val="nil"/>
                <w:right w:val="nil"/>
                <w:between w:val="nil"/>
              </w:pBdr>
              <w:jc w:val="both"/>
              <w:rPr>
                <w:rFonts w:ascii="Arial" w:hAnsi="Arial" w:cs="Arial"/>
              </w:rPr>
            </w:pPr>
          </w:p>
        </w:tc>
      </w:tr>
      <w:tr w:rsidR="003836A1" w:rsidRPr="003836A1" w14:paraId="154A7C75" w14:textId="77777777" w:rsidTr="007022DD">
        <w:tc>
          <w:tcPr>
            <w:tcW w:w="2825" w:type="dxa"/>
            <w:shd w:val="clear" w:color="auto" w:fill="auto"/>
            <w:tcMar>
              <w:top w:w="100" w:type="dxa"/>
              <w:left w:w="100" w:type="dxa"/>
              <w:bottom w:w="100" w:type="dxa"/>
              <w:right w:w="100" w:type="dxa"/>
            </w:tcMar>
          </w:tcPr>
          <w:p w14:paraId="154A7C6C" w14:textId="77777777" w:rsidR="007022DD" w:rsidRPr="003836A1" w:rsidRDefault="007022DD" w:rsidP="003836A1">
            <w:pPr>
              <w:pBdr>
                <w:top w:val="nil"/>
                <w:left w:val="nil"/>
                <w:bottom w:val="nil"/>
                <w:right w:val="nil"/>
                <w:between w:val="nil"/>
              </w:pBdr>
              <w:jc w:val="center"/>
              <w:rPr>
                <w:rFonts w:ascii="Arial" w:hAnsi="Arial" w:cs="Arial"/>
              </w:rPr>
            </w:pPr>
            <w:r w:rsidRPr="003836A1">
              <w:rPr>
                <w:rFonts w:ascii="Arial" w:hAnsi="Arial" w:cs="Arial"/>
              </w:rPr>
              <w:lastRenderedPageBreak/>
              <w:t>510 de 2024</w:t>
            </w:r>
          </w:p>
        </w:tc>
        <w:tc>
          <w:tcPr>
            <w:tcW w:w="6251" w:type="dxa"/>
            <w:shd w:val="clear" w:color="auto" w:fill="auto"/>
            <w:tcMar>
              <w:top w:w="100" w:type="dxa"/>
              <w:left w:w="100" w:type="dxa"/>
              <w:bottom w:w="100" w:type="dxa"/>
              <w:right w:w="100" w:type="dxa"/>
            </w:tcMar>
          </w:tcPr>
          <w:p w14:paraId="154A7C6D" w14:textId="77777777" w:rsidR="007022DD" w:rsidRPr="003836A1" w:rsidRDefault="007022DD" w:rsidP="003836A1">
            <w:pPr>
              <w:pBdr>
                <w:top w:val="nil"/>
                <w:left w:val="nil"/>
                <w:bottom w:val="nil"/>
                <w:right w:val="nil"/>
                <w:between w:val="nil"/>
              </w:pBdr>
              <w:jc w:val="both"/>
              <w:rPr>
                <w:rFonts w:ascii="Arial" w:hAnsi="Arial" w:cs="Arial"/>
              </w:rPr>
            </w:pPr>
            <w:r w:rsidRPr="003836A1">
              <w:rPr>
                <w:rFonts w:ascii="Arial" w:hAnsi="Arial" w:cs="Arial"/>
              </w:rPr>
              <w:t xml:space="preserve">El proyecto fue radicado el 26 de junio de 2024 y remitido a la Comisión de Gobierno el 18 de julio de 2024. </w:t>
            </w:r>
          </w:p>
          <w:p w14:paraId="154A7C6E" w14:textId="77777777" w:rsidR="007022DD" w:rsidRPr="003836A1" w:rsidRDefault="007022DD" w:rsidP="003836A1">
            <w:pPr>
              <w:pBdr>
                <w:top w:val="nil"/>
                <w:left w:val="nil"/>
                <w:bottom w:val="nil"/>
                <w:right w:val="nil"/>
                <w:between w:val="nil"/>
              </w:pBdr>
              <w:jc w:val="both"/>
              <w:rPr>
                <w:rFonts w:ascii="Arial" w:hAnsi="Arial" w:cs="Arial"/>
              </w:rPr>
            </w:pPr>
          </w:p>
          <w:p w14:paraId="154A7C6F" w14:textId="77777777" w:rsidR="007022DD" w:rsidRPr="003836A1" w:rsidRDefault="007022DD" w:rsidP="003836A1">
            <w:pPr>
              <w:pBdr>
                <w:top w:val="nil"/>
                <w:left w:val="nil"/>
                <w:bottom w:val="nil"/>
                <w:right w:val="nil"/>
                <w:between w:val="nil"/>
              </w:pBdr>
              <w:jc w:val="both"/>
              <w:rPr>
                <w:rFonts w:ascii="Arial" w:hAnsi="Arial" w:cs="Arial"/>
              </w:rPr>
            </w:pPr>
            <w:r w:rsidRPr="003836A1">
              <w:rPr>
                <w:rFonts w:ascii="Arial" w:hAnsi="Arial" w:cs="Arial"/>
              </w:rPr>
              <w:t xml:space="preserve">La iniciativa fue acumulada con los proyectos </w:t>
            </w:r>
            <w:r w:rsidR="00717C1D" w:rsidRPr="003836A1">
              <w:rPr>
                <w:rFonts w:ascii="Arial" w:hAnsi="Arial" w:cs="Arial"/>
              </w:rPr>
              <w:t xml:space="preserve">414, 481, 502, 513, 543, 558 y 588 de 2024. </w:t>
            </w:r>
          </w:p>
          <w:p w14:paraId="154A7C70" w14:textId="77777777" w:rsidR="004C373C" w:rsidRPr="003836A1" w:rsidRDefault="004C373C" w:rsidP="003836A1">
            <w:pPr>
              <w:pBdr>
                <w:top w:val="nil"/>
                <w:left w:val="nil"/>
                <w:bottom w:val="nil"/>
                <w:right w:val="nil"/>
                <w:between w:val="nil"/>
              </w:pBdr>
              <w:jc w:val="both"/>
              <w:rPr>
                <w:rFonts w:ascii="Arial" w:hAnsi="Arial" w:cs="Arial"/>
              </w:rPr>
            </w:pPr>
          </w:p>
          <w:p w14:paraId="154A7C71" w14:textId="77777777" w:rsidR="004C373C" w:rsidRPr="003836A1" w:rsidRDefault="004C373C" w:rsidP="003836A1">
            <w:pPr>
              <w:pBdr>
                <w:top w:val="nil"/>
                <w:left w:val="nil"/>
                <w:bottom w:val="nil"/>
                <w:right w:val="nil"/>
                <w:between w:val="nil"/>
              </w:pBdr>
              <w:jc w:val="both"/>
              <w:rPr>
                <w:rFonts w:ascii="Arial" w:hAnsi="Arial" w:cs="Arial"/>
              </w:rPr>
            </w:pPr>
            <w:r w:rsidRPr="003836A1">
              <w:rPr>
                <w:rFonts w:ascii="Arial" w:hAnsi="Arial" w:cs="Arial"/>
              </w:rPr>
              <w:t>Los concejales Juan Daniel Oviedo y Juan Javier Baena rindieron ponencia positiva conjunta con modificaciones.</w:t>
            </w:r>
          </w:p>
          <w:p w14:paraId="154A7C72" w14:textId="77777777" w:rsidR="0019511F" w:rsidRPr="003836A1" w:rsidRDefault="0019511F" w:rsidP="003836A1">
            <w:pPr>
              <w:pBdr>
                <w:top w:val="nil"/>
                <w:left w:val="nil"/>
                <w:bottom w:val="nil"/>
                <w:right w:val="nil"/>
                <w:between w:val="nil"/>
              </w:pBdr>
              <w:jc w:val="both"/>
              <w:rPr>
                <w:rFonts w:ascii="Arial" w:hAnsi="Arial" w:cs="Arial"/>
              </w:rPr>
            </w:pPr>
          </w:p>
          <w:p w14:paraId="154A7C73" w14:textId="77777777" w:rsidR="0019511F" w:rsidRPr="003836A1" w:rsidRDefault="0019511F" w:rsidP="003836A1">
            <w:pPr>
              <w:jc w:val="both"/>
              <w:rPr>
                <w:rFonts w:ascii="Arial" w:hAnsi="Arial" w:cs="Arial"/>
              </w:rPr>
            </w:pPr>
            <w:r w:rsidRPr="003836A1">
              <w:rPr>
                <w:rFonts w:ascii="Arial" w:hAnsi="Arial" w:cs="Arial"/>
              </w:rPr>
              <w:t xml:space="preserve">Archivado de conformidad con el artículo 79 del Acuerdo 741 de 2019, modificado por el artículo 17 del Acuerdo 837 de 2022, por no discutirse en las sesiones ordinarias del mes de agosto de 2024.   </w:t>
            </w:r>
          </w:p>
          <w:p w14:paraId="154A7C74" w14:textId="77777777" w:rsidR="0019511F" w:rsidRPr="003836A1" w:rsidRDefault="0019511F" w:rsidP="003836A1">
            <w:pPr>
              <w:pBdr>
                <w:top w:val="nil"/>
                <w:left w:val="nil"/>
                <w:bottom w:val="nil"/>
                <w:right w:val="nil"/>
                <w:between w:val="nil"/>
              </w:pBdr>
              <w:jc w:val="both"/>
              <w:rPr>
                <w:rFonts w:ascii="Arial" w:hAnsi="Arial" w:cs="Arial"/>
              </w:rPr>
            </w:pPr>
          </w:p>
        </w:tc>
      </w:tr>
      <w:tr w:rsidR="007022DD" w:rsidRPr="003836A1" w14:paraId="154A7C7F" w14:textId="77777777" w:rsidTr="007022DD">
        <w:tc>
          <w:tcPr>
            <w:tcW w:w="2825" w:type="dxa"/>
            <w:shd w:val="clear" w:color="auto" w:fill="auto"/>
            <w:tcMar>
              <w:top w:w="100" w:type="dxa"/>
              <w:left w:w="100" w:type="dxa"/>
              <w:bottom w:w="100" w:type="dxa"/>
              <w:right w:w="100" w:type="dxa"/>
            </w:tcMar>
          </w:tcPr>
          <w:p w14:paraId="154A7C76" w14:textId="77777777" w:rsidR="007022DD" w:rsidRPr="003836A1" w:rsidRDefault="007022DD" w:rsidP="003836A1">
            <w:pPr>
              <w:pBdr>
                <w:top w:val="nil"/>
                <w:left w:val="nil"/>
                <w:bottom w:val="nil"/>
                <w:right w:val="nil"/>
                <w:between w:val="nil"/>
              </w:pBdr>
              <w:jc w:val="center"/>
              <w:rPr>
                <w:rFonts w:ascii="Arial" w:hAnsi="Arial" w:cs="Arial"/>
              </w:rPr>
            </w:pPr>
            <w:r w:rsidRPr="003836A1">
              <w:rPr>
                <w:rFonts w:ascii="Arial" w:hAnsi="Arial" w:cs="Arial"/>
              </w:rPr>
              <w:t xml:space="preserve">699 de 2024 </w:t>
            </w:r>
          </w:p>
        </w:tc>
        <w:tc>
          <w:tcPr>
            <w:tcW w:w="6251" w:type="dxa"/>
            <w:shd w:val="clear" w:color="auto" w:fill="auto"/>
            <w:tcMar>
              <w:top w:w="100" w:type="dxa"/>
              <w:left w:w="100" w:type="dxa"/>
              <w:bottom w:w="100" w:type="dxa"/>
              <w:right w:w="100" w:type="dxa"/>
            </w:tcMar>
          </w:tcPr>
          <w:p w14:paraId="154A7C77" w14:textId="77777777" w:rsidR="00B343FE" w:rsidRPr="003836A1" w:rsidRDefault="00B343FE" w:rsidP="003836A1">
            <w:pPr>
              <w:pBdr>
                <w:top w:val="nil"/>
                <w:left w:val="nil"/>
                <w:bottom w:val="nil"/>
                <w:right w:val="nil"/>
                <w:between w:val="nil"/>
              </w:pBdr>
              <w:jc w:val="both"/>
              <w:rPr>
                <w:rFonts w:ascii="Arial" w:hAnsi="Arial" w:cs="Arial"/>
              </w:rPr>
            </w:pPr>
            <w:r w:rsidRPr="003836A1">
              <w:rPr>
                <w:rFonts w:ascii="Arial" w:hAnsi="Arial" w:cs="Arial"/>
              </w:rPr>
              <w:t xml:space="preserve">El proyecto fue radicado el 2 de octubre de 2024 y remitido a la Comisión de Gobierno el 14 de octubre de 2024. </w:t>
            </w:r>
          </w:p>
          <w:p w14:paraId="154A7C78" w14:textId="77777777" w:rsidR="00B343FE" w:rsidRPr="003836A1" w:rsidRDefault="00B343FE" w:rsidP="003836A1">
            <w:pPr>
              <w:pBdr>
                <w:top w:val="nil"/>
                <w:left w:val="nil"/>
                <w:bottom w:val="nil"/>
                <w:right w:val="nil"/>
                <w:between w:val="nil"/>
              </w:pBdr>
              <w:jc w:val="both"/>
              <w:rPr>
                <w:rFonts w:ascii="Arial" w:hAnsi="Arial" w:cs="Arial"/>
              </w:rPr>
            </w:pPr>
          </w:p>
          <w:p w14:paraId="154A7C79" w14:textId="77777777" w:rsidR="007022DD" w:rsidRPr="003836A1" w:rsidRDefault="00B343FE" w:rsidP="003836A1">
            <w:pPr>
              <w:pBdr>
                <w:top w:val="nil"/>
                <w:left w:val="nil"/>
                <w:bottom w:val="nil"/>
                <w:right w:val="nil"/>
                <w:between w:val="nil"/>
              </w:pBdr>
              <w:jc w:val="both"/>
              <w:rPr>
                <w:rFonts w:ascii="Arial" w:hAnsi="Arial" w:cs="Arial"/>
              </w:rPr>
            </w:pPr>
            <w:r w:rsidRPr="003836A1">
              <w:rPr>
                <w:rFonts w:ascii="Arial" w:hAnsi="Arial" w:cs="Arial"/>
              </w:rPr>
              <w:t xml:space="preserve">La iniciativa fue acumulada con los proyectos 667, 746, 711 y 778 de 2024. </w:t>
            </w:r>
          </w:p>
          <w:p w14:paraId="154A7C7A" w14:textId="77777777" w:rsidR="004C373C" w:rsidRPr="003836A1" w:rsidRDefault="004C373C" w:rsidP="003836A1">
            <w:pPr>
              <w:pBdr>
                <w:top w:val="nil"/>
                <w:left w:val="nil"/>
                <w:bottom w:val="nil"/>
                <w:right w:val="nil"/>
                <w:between w:val="nil"/>
              </w:pBdr>
              <w:jc w:val="both"/>
              <w:rPr>
                <w:rFonts w:ascii="Arial" w:hAnsi="Arial" w:cs="Arial"/>
              </w:rPr>
            </w:pPr>
          </w:p>
          <w:p w14:paraId="154A7C7B" w14:textId="77777777" w:rsidR="004C373C" w:rsidRPr="003836A1" w:rsidRDefault="004C373C" w:rsidP="003836A1">
            <w:pPr>
              <w:pBdr>
                <w:top w:val="nil"/>
                <w:left w:val="nil"/>
                <w:bottom w:val="nil"/>
                <w:right w:val="nil"/>
                <w:between w:val="nil"/>
              </w:pBdr>
              <w:jc w:val="both"/>
              <w:rPr>
                <w:rFonts w:ascii="Arial" w:hAnsi="Arial" w:cs="Arial"/>
              </w:rPr>
            </w:pPr>
            <w:r w:rsidRPr="003836A1">
              <w:rPr>
                <w:rFonts w:ascii="Arial" w:hAnsi="Arial" w:cs="Arial"/>
              </w:rPr>
              <w:t>Los concejales Juan Daniel Oviedo y Juan Javier Baena rindieron ponencia positiva conjunta con modificaciones.</w:t>
            </w:r>
          </w:p>
          <w:p w14:paraId="154A7C7C" w14:textId="77777777" w:rsidR="0019511F" w:rsidRPr="003836A1" w:rsidRDefault="0019511F" w:rsidP="003836A1">
            <w:pPr>
              <w:pBdr>
                <w:top w:val="nil"/>
                <w:left w:val="nil"/>
                <w:bottom w:val="nil"/>
                <w:right w:val="nil"/>
                <w:between w:val="nil"/>
              </w:pBdr>
              <w:jc w:val="both"/>
              <w:rPr>
                <w:rFonts w:ascii="Arial" w:hAnsi="Arial" w:cs="Arial"/>
              </w:rPr>
            </w:pPr>
          </w:p>
          <w:p w14:paraId="154A7C7D" w14:textId="77777777" w:rsidR="0019511F" w:rsidRPr="003836A1" w:rsidRDefault="0019511F" w:rsidP="003836A1">
            <w:pPr>
              <w:jc w:val="both"/>
              <w:rPr>
                <w:rFonts w:ascii="Arial" w:hAnsi="Arial" w:cs="Arial"/>
              </w:rPr>
            </w:pPr>
            <w:r w:rsidRPr="003836A1">
              <w:rPr>
                <w:rFonts w:ascii="Arial" w:hAnsi="Arial" w:cs="Arial"/>
              </w:rPr>
              <w:t xml:space="preserve">Archivado de conformidad con el artículo 79 del Acuerdo 741 de 2019, modificado por el artículo 17 del Acuerdo 837 de 2022, por no discutirse en las sesiones ordinarias del mes de </w:t>
            </w:r>
            <w:r w:rsidR="00CB3DD7" w:rsidRPr="003836A1">
              <w:rPr>
                <w:rFonts w:ascii="Arial" w:hAnsi="Arial" w:cs="Arial"/>
              </w:rPr>
              <w:t>noviembre</w:t>
            </w:r>
            <w:r w:rsidRPr="003836A1">
              <w:rPr>
                <w:rFonts w:ascii="Arial" w:hAnsi="Arial" w:cs="Arial"/>
              </w:rPr>
              <w:t xml:space="preserve"> de 2024.   </w:t>
            </w:r>
          </w:p>
          <w:p w14:paraId="154A7C7E" w14:textId="77777777" w:rsidR="0019511F" w:rsidRPr="003836A1" w:rsidRDefault="0019511F" w:rsidP="003836A1">
            <w:pPr>
              <w:pBdr>
                <w:top w:val="nil"/>
                <w:left w:val="nil"/>
                <w:bottom w:val="nil"/>
                <w:right w:val="nil"/>
                <w:between w:val="nil"/>
              </w:pBdr>
              <w:jc w:val="both"/>
              <w:rPr>
                <w:rFonts w:ascii="Arial" w:hAnsi="Arial" w:cs="Arial"/>
              </w:rPr>
            </w:pPr>
          </w:p>
        </w:tc>
      </w:tr>
    </w:tbl>
    <w:p w14:paraId="154A7C80" w14:textId="77777777" w:rsidR="00610266" w:rsidRPr="003836A1" w:rsidRDefault="00610266" w:rsidP="003836A1">
      <w:pPr>
        <w:pBdr>
          <w:top w:val="nil"/>
          <w:left w:val="nil"/>
          <w:bottom w:val="nil"/>
          <w:right w:val="nil"/>
          <w:between w:val="nil"/>
        </w:pBdr>
        <w:rPr>
          <w:rFonts w:ascii="Arial" w:eastAsia="Arial" w:hAnsi="Arial" w:cs="Arial"/>
        </w:rPr>
      </w:pPr>
    </w:p>
    <w:p w14:paraId="154A7C81" w14:textId="77777777" w:rsidR="00610266" w:rsidRPr="003836A1" w:rsidRDefault="00F95AB8" w:rsidP="003836A1">
      <w:pPr>
        <w:pStyle w:val="Ttulo2"/>
        <w:numPr>
          <w:ilvl w:val="0"/>
          <w:numId w:val="13"/>
        </w:numPr>
        <w:tabs>
          <w:tab w:val="left" w:pos="404"/>
        </w:tabs>
        <w:ind w:hanging="285"/>
        <w:rPr>
          <w:highlight w:val="white"/>
        </w:rPr>
      </w:pPr>
      <w:r w:rsidRPr="003836A1">
        <w:rPr>
          <w:highlight w:val="white"/>
        </w:rPr>
        <w:t>SUSTENTO JURÍDICO</w:t>
      </w:r>
    </w:p>
    <w:p w14:paraId="154A7C82" w14:textId="77777777" w:rsidR="00610266" w:rsidRPr="003836A1" w:rsidRDefault="00610266" w:rsidP="003836A1">
      <w:pPr>
        <w:pStyle w:val="Ttulo2"/>
        <w:tabs>
          <w:tab w:val="left" w:pos="830"/>
          <w:tab w:val="left" w:pos="831"/>
        </w:tabs>
        <w:ind w:left="0"/>
      </w:pPr>
    </w:p>
    <w:p w14:paraId="154A7C83" w14:textId="77777777" w:rsidR="00610266" w:rsidRPr="003836A1" w:rsidRDefault="00F95AB8" w:rsidP="003836A1">
      <w:pPr>
        <w:pStyle w:val="Ttulo2"/>
        <w:numPr>
          <w:ilvl w:val="1"/>
          <w:numId w:val="14"/>
        </w:numPr>
        <w:tabs>
          <w:tab w:val="left" w:pos="830"/>
          <w:tab w:val="left" w:pos="831"/>
        </w:tabs>
      </w:pPr>
      <w:r w:rsidRPr="003836A1">
        <w:t xml:space="preserve">NORMATIVIDAD INTERNACIONAL </w:t>
      </w:r>
    </w:p>
    <w:p w14:paraId="154A7C84" w14:textId="77777777" w:rsidR="00610266" w:rsidRPr="003836A1" w:rsidRDefault="00610266" w:rsidP="003836A1">
      <w:pPr>
        <w:pStyle w:val="Ttulo2"/>
        <w:ind w:left="0"/>
        <w:jc w:val="both"/>
      </w:pPr>
    </w:p>
    <w:p w14:paraId="154A7C85" w14:textId="77777777" w:rsidR="00610266" w:rsidRPr="003836A1" w:rsidRDefault="00F95AB8" w:rsidP="003836A1">
      <w:pPr>
        <w:pStyle w:val="Ttulo2"/>
        <w:numPr>
          <w:ilvl w:val="0"/>
          <w:numId w:val="1"/>
        </w:numPr>
        <w:ind w:left="142" w:firstLine="0"/>
        <w:jc w:val="both"/>
      </w:pPr>
      <w:r w:rsidRPr="003836A1">
        <w:t xml:space="preserve">Objetivos de Desarrollo Sostenible de las Naciones Unidas </w:t>
      </w:r>
    </w:p>
    <w:p w14:paraId="154A7C86" w14:textId="77777777" w:rsidR="00610266" w:rsidRPr="003836A1" w:rsidRDefault="00610266" w:rsidP="003836A1">
      <w:pPr>
        <w:pStyle w:val="Ttulo2"/>
        <w:ind w:firstLine="119"/>
        <w:jc w:val="both"/>
      </w:pPr>
    </w:p>
    <w:p w14:paraId="154A7C87" w14:textId="77777777" w:rsidR="00610266" w:rsidRPr="003836A1" w:rsidRDefault="00F95AB8" w:rsidP="003836A1">
      <w:pPr>
        <w:pStyle w:val="Ttulo2"/>
        <w:ind w:left="426"/>
        <w:jc w:val="both"/>
      </w:pPr>
      <w:r w:rsidRPr="003836A1">
        <w:t>Objetivo No. 3 Garantizar una vida sana y promover el bienestar para todos en todas las edades.</w:t>
      </w:r>
    </w:p>
    <w:p w14:paraId="154A7C88" w14:textId="77777777" w:rsidR="00610266" w:rsidRPr="003836A1" w:rsidRDefault="00F95AB8" w:rsidP="003836A1">
      <w:pPr>
        <w:pStyle w:val="Ttulo2"/>
        <w:ind w:left="426"/>
        <w:jc w:val="both"/>
        <w:rPr>
          <w:b w:val="0"/>
          <w:i/>
        </w:rPr>
      </w:pPr>
      <w:r w:rsidRPr="003836A1">
        <w:rPr>
          <w:b w:val="0"/>
          <w:i/>
        </w:rPr>
        <w:t>Dentro de las metas planteadas en este objetivo se destacan:</w:t>
      </w:r>
    </w:p>
    <w:p w14:paraId="154A7C89" w14:textId="77777777" w:rsidR="00610266" w:rsidRPr="003836A1" w:rsidRDefault="00610266" w:rsidP="003836A1">
      <w:pPr>
        <w:pStyle w:val="Ttulo2"/>
        <w:ind w:left="426"/>
        <w:jc w:val="both"/>
        <w:rPr>
          <w:b w:val="0"/>
          <w:i/>
          <w:highlight w:val="white"/>
        </w:rPr>
      </w:pPr>
    </w:p>
    <w:p w14:paraId="154A7C8A" w14:textId="77777777" w:rsidR="00610266" w:rsidRPr="003836A1" w:rsidRDefault="00F95AB8" w:rsidP="003836A1">
      <w:pPr>
        <w:pStyle w:val="Ttulo2"/>
        <w:ind w:left="426"/>
        <w:jc w:val="both"/>
        <w:rPr>
          <w:b w:val="0"/>
          <w:i/>
          <w:highlight w:val="white"/>
        </w:rPr>
      </w:pPr>
      <w:r w:rsidRPr="003836A1">
        <w:rPr>
          <w:b w:val="0"/>
          <w:i/>
          <w:highlight w:val="white"/>
        </w:rPr>
        <w:t>3.5.  Fortalecer la prevención y el tratamiento del abuso de sustancias adictivas, incluido el uso indebido de estupefacientes y el consumo nocivo de alcohol.</w:t>
      </w:r>
    </w:p>
    <w:p w14:paraId="154A7C8B" w14:textId="77777777" w:rsidR="00610266" w:rsidRPr="003836A1" w:rsidRDefault="00610266" w:rsidP="003836A1">
      <w:pPr>
        <w:pStyle w:val="Ttulo2"/>
        <w:ind w:left="0"/>
        <w:jc w:val="both"/>
        <w:rPr>
          <w:b w:val="0"/>
          <w:highlight w:val="white"/>
        </w:rPr>
      </w:pPr>
    </w:p>
    <w:p w14:paraId="154A7C8C" w14:textId="77777777" w:rsidR="00610266" w:rsidRPr="003836A1" w:rsidRDefault="00F95AB8" w:rsidP="003836A1">
      <w:pPr>
        <w:pStyle w:val="Ttulo2"/>
        <w:ind w:left="426"/>
        <w:jc w:val="both"/>
      </w:pPr>
      <w:r w:rsidRPr="003836A1">
        <w:t xml:space="preserve">Objetivo No. 11 Ciudades y comunidades sostenibles </w:t>
      </w:r>
    </w:p>
    <w:p w14:paraId="154A7C8D" w14:textId="77777777" w:rsidR="00610266" w:rsidRPr="003836A1" w:rsidRDefault="00610266" w:rsidP="003836A1">
      <w:pPr>
        <w:pStyle w:val="Ttulo2"/>
        <w:ind w:left="0"/>
        <w:jc w:val="both"/>
      </w:pPr>
    </w:p>
    <w:p w14:paraId="154A7C8E" w14:textId="77777777" w:rsidR="00610266" w:rsidRPr="003836A1" w:rsidRDefault="00F95AB8" w:rsidP="003836A1">
      <w:pPr>
        <w:pStyle w:val="Ttulo2"/>
        <w:ind w:left="426"/>
        <w:jc w:val="both"/>
        <w:rPr>
          <w:b w:val="0"/>
          <w:i/>
        </w:rPr>
      </w:pPr>
      <w:r w:rsidRPr="003836A1">
        <w:rPr>
          <w:b w:val="0"/>
          <w:i/>
        </w:rPr>
        <w:t xml:space="preserve">Este objetivo contempla las siguientes metas: </w:t>
      </w:r>
    </w:p>
    <w:p w14:paraId="154A7C8F" w14:textId="77777777" w:rsidR="00610266" w:rsidRPr="003836A1" w:rsidRDefault="00610266" w:rsidP="003836A1">
      <w:pPr>
        <w:pStyle w:val="Ttulo2"/>
        <w:ind w:left="426"/>
        <w:jc w:val="both"/>
        <w:rPr>
          <w:b w:val="0"/>
          <w:i/>
        </w:rPr>
      </w:pPr>
    </w:p>
    <w:p w14:paraId="154A7C90" w14:textId="77777777" w:rsidR="00610266" w:rsidRPr="003836A1" w:rsidRDefault="00F95AB8" w:rsidP="003836A1">
      <w:pPr>
        <w:pStyle w:val="Ttulo2"/>
        <w:ind w:left="426"/>
        <w:jc w:val="both"/>
        <w:rPr>
          <w:b w:val="0"/>
          <w:i/>
        </w:rPr>
      </w:pPr>
      <w:r w:rsidRPr="003836A1">
        <w:rPr>
          <w:b w:val="0"/>
          <w:i/>
        </w:rPr>
        <w:t>11.1 De aquí a 2030, asegurar el acceso de todas las personas a viviendas y servicios básicos adecuados, seguros y asequibles y mejorar los barrios marginales.</w:t>
      </w:r>
    </w:p>
    <w:p w14:paraId="154A7C91" w14:textId="77777777" w:rsidR="00610266" w:rsidRPr="003836A1" w:rsidRDefault="00610266" w:rsidP="003836A1">
      <w:pPr>
        <w:pStyle w:val="Ttulo2"/>
        <w:ind w:left="426"/>
        <w:jc w:val="both"/>
        <w:rPr>
          <w:b w:val="0"/>
          <w:i/>
        </w:rPr>
      </w:pPr>
    </w:p>
    <w:p w14:paraId="154A7C92" w14:textId="77777777" w:rsidR="00610266" w:rsidRPr="003836A1" w:rsidRDefault="00F95AB8" w:rsidP="003836A1">
      <w:pPr>
        <w:pStyle w:val="Ttulo2"/>
        <w:ind w:left="426"/>
        <w:jc w:val="both"/>
        <w:rPr>
          <w:b w:val="0"/>
          <w:i/>
        </w:rPr>
      </w:pPr>
      <w:r w:rsidRPr="003836A1">
        <w:rPr>
          <w:b w:val="0"/>
          <w:i/>
        </w:rPr>
        <w:t>11.7 De aquí a 2030, proporcionar acceso universal a zonas verdes y espacios públicos seguros, inclusivos y accesibles, en particular para las mujeres y los niños, las personas de edad y las personas con discapacidad.</w:t>
      </w:r>
    </w:p>
    <w:p w14:paraId="154A7C93" w14:textId="77777777" w:rsidR="00610266" w:rsidRPr="003836A1" w:rsidRDefault="00610266" w:rsidP="003836A1">
      <w:pPr>
        <w:pStyle w:val="Ttulo2"/>
        <w:ind w:left="426"/>
        <w:jc w:val="both"/>
        <w:rPr>
          <w:b w:val="0"/>
        </w:rPr>
      </w:pPr>
    </w:p>
    <w:p w14:paraId="154A7C94" w14:textId="77777777" w:rsidR="00610266" w:rsidRPr="003836A1" w:rsidRDefault="00610266" w:rsidP="003836A1">
      <w:pPr>
        <w:pStyle w:val="Ttulo2"/>
        <w:ind w:left="426"/>
        <w:jc w:val="both"/>
      </w:pPr>
    </w:p>
    <w:p w14:paraId="154A7C95" w14:textId="77777777" w:rsidR="00610266" w:rsidRPr="003836A1" w:rsidRDefault="00F95AB8" w:rsidP="003836A1">
      <w:pPr>
        <w:pStyle w:val="Ttulo2"/>
        <w:numPr>
          <w:ilvl w:val="0"/>
          <w:numId w:val="1"/>
        </w:numPr>
        <w:ind w:left="142" w:firstLine="0"/>
        <w:jc w:val="both"/>
      </w:pPr>
      <w:r w:rsidRPr="003836A1">
        <w:t>Declaración Universal de los Derechos Humanos adoptada y proclamada por la Asamblea General en su Resolución 217ª (III), del 10 de diciembre de 1948 de las Naciones Unidas</w:t>
      </w:r>
      <w:r w:rsidRPr="003836A1">
        <w:rPr>
          <w:b w:val="0"/>
        </w:rPr>
        <w:t>,</w:t>
      </w:r>
      <w:r w:rsidRPr="003836A1">
        <w:t xml:space="preserve"> </w:t>
      </w:r>
      <w:r w:rsidRPr="003836A1">
        <w:rPr>
          <w:b w:val="0"/>
        </w:rPr>
        <w:t>que surge como ideal común por el que todos los pueblos y naciones deben trabajar, para que los individuos y las instituciones basados en esta declaración se fomente a través de la enseñanza y la educación, el respeto a los derechos y libertades, y que mediante medidas nacionales e internacionales, su reconocimiento y aplicación universales y efectivos, tanto entre los pueblos de los Estados Miembros como entre los de los territorios colocados bajo su jurisdicción.</w:t>
      </w:r>
    </w:p>
    <w:p w14:paraId="154A7C96" w14:textId="77777777" w:rsidR="00610266" w:rsidRPr="003836A1" w:rsidRDefault="00610266" w:rsidP="003836A1">
      <w:pPr>
        <w:pStyle w:val="Ttulo2"/>
        <w:ind w:left="0"/>
        <w:jc w:val="both"/>
      </w:pPr>
    </w:p>
    <w:p w14:paraId="154A7C97" w14:textId="77777777" w:rsidR="00610266" w:rsidRPr="003836A1" w:rsidRDefault="00F95AB8" w:rsidP="003836A1">
      <w:pPr>
        <w:pStyle w:val="Ttulo2"/>
        <w:numPr>
          <w:ilvl w:val="0"/>
          <w:numId w:val="1"/>
        </w:numPr>
        <w:ind w:left="142" w:firstLine="0"/>
        <w:jc w:val="both"/>
      </w:pPr>
      <w:r w:rsidRPr="003836A1">
        <w:t>Convención Única de 1961 sobre estupefacientes enmendada por el protocolo de 1972 de modificación de la convención única de 1961 sobre estupefacientes.</w:t>
      </w:r>
    </w:p>
    <w:p w14:paraId="154A7C98" w14:textId="77777777" w:rsidR="00610266" w:rsidRPr="003836A1" w:rsidRDefault="00610266" w:rsidP="003836A1">
      <w:pPr>
        <w:pBdr>
          <w:top w:val="nil"/>
          <w:left w:val="nil"/>
          <w:bottom w:val="nil"/>
          <w:right w:val="nil"/>
          <w:between w:val="nil"/>
        </w:pBdr>
        <w:ind w:left="119"/>
        <w:jc w:val="both"/>
        <w:rPr>
          <w:rFonts w:ascii="Arial" w:hAnsi="Arial" w:cs="Arial"/>
        </w:rPr>
      </w:pPr>
    </w:p>
    <w:p w14:paraId="154A7C99" w14:textId="77777777" w:rsidR="00610266" w:rsidRPr="003836A1" w:rsidRDefault="00F95AB8" w:rsidP="003836A1">
      <w:pPr>
        <w:pStyle w:val="Ttulo2"/>
        <w:numPr>
          <w:ilvl w:val="0"/>
          <w:numId w:val="1"/>
        </w:numPr>
        <w:ind w:left="142" w:firstLine="0"/>
        <w:jc w:val="both"/>
      </w:pPr>
      <w:r w:rsidRPr="003836A1">
        <w:t>Convención Internacional sobre los Derechos del Niño:</w:t>
      </w:r>
    </w:p>
    <w:p w14:paraId="154A7C9A" w14:textId="77777777" w:rsidR="00610266" w:rsidRPr="003836A1" w:rsidRDefault="00610266" w:rsidP="003836A1">
      <w:pPr>
        <w:pBdr>
          <w:top w:val="nil"/>
          <w:left w:val="nil"/>
          <w:bottom w:val="nil"/>
          <w:right w:val="nil"/>
          <w:between w:val="nil"/>
        </w:pBdr>
        <w:ind w:left="119"/>
        <w:jc w:val="both"/>
        <w:rPr>
          <w:rFonts w:ascii="Arial" w:hAnsi="Arial" w:cs="Arial"/>
        </w:rPr>
      </w:pPr>
    </w:p>
    <w:p w14:paraId="154A7C9B" w14:textId="77777777" w:rsidR="00610266" w:rsidRPr="003836A1" w:rsidRDefault="00F95AB8" w:rsidP="003836A1">
      <w:pPr>
        <w:pStyle w:val="Ttulo2"/>
        <w:ind w:left="426"/>
        <w:jc w:val="both"/>
        <w:rPr>
          <w:i/>
        </w:rPr>
      </w:pPr>
      <w:r w:rsidRPr="003836A1">
        <w:rPr>
          <w:i/>
        </w:rPr>
        <w:t xml:space="preserve">Artículo 33. </w:t>
      </w:r>
    </w:p>
    <w:p w14:paraId="154A7C9C" w14:textId="77777777" w:rsidR="00610266" w:rsidRPr="003836A1" w:rsidRDefault="00610266" w:rsidP="003836A1">
      <w:pPr>
        <w:pStyle w:val="Ttulo2"/>
        <w:ind w:left="426"/>
        <w:jc w:val="both"/>
        <w:rPr>
          <w:i/>
        </w:rPr>
      </w:pPr>
    </w:p>
    <w:p w14:paraId="154A7C9D" w14:textId="77777777" w:rsidR="00610266" w:rsidRPr="003836A1" w:rsidRDefault="00F95AB8" w:rsidP="003836A1">
      <w:pPr>
        <w:pStyle w:val="Ttulo2"/>
        <w:ind w:left="426"/>
        <w:jc w:val="both"/>
        <w:rPr>
          <w:b w:val="0"/>
          <w:i/>
        </w:rPr>
      </w:pPr>
      <w:r w:rsidRPr="003836A1">
        <w:rPr>
          <w:b w:val="0"/>
          <w:i/>
        </w:rPr>
        <w:t>Los Estados Partes adoptarán todas las medidas apropiadas, incluidas medidas legislativas, administrativas, sociales y educacionales, para proteger a los niños contra el uso ilícito de los estupefacientes y sustancias sicotrópicas enumeradas en los tratados internacionales pertinentes, y para impedir que se utilice a niños en la producción y el tráfico ilícitos de esas sustancias”</w:t>
      </w:r>
    </w:p>
    <w:p w14:paraId="154A7C9E" w14:textId="77777777" w:rsidR="00610266" w:rsidRPr="003836A1" w:rsidRDefault="00610266" w:rsidP="003836A1">
      <w:pPr>
        <w:rPr>
          <w:rFonts w:ascii="Arial" w:eastAsia="Arial" w:hAnsi="Arial" w:cs="Arial"/>
        </w:rPr>
      </w:pPr>
    </w:p>
    <w:p w14:paraId="154A7C9F" w14:textId="77777777" w:rsidR="00610266" w:rsidRPr="003836A1" w:rsidRDefault="00F95AB8" w:rsidP="003836A1">
      <w:pPr>
        <w:pStyle w:val="Ttulo2"/>
        <w:numPr>
          <w:ilvl w:val="0"/>
          <w:numId w:val="1"/>
        </w:numPr>
        <w:ind w:left="142" w:firstLine="0"/>
        <w:jc w:val="both"/>
      </w:pPr>
      <w:r w:rsidRPr="003836A1">
        <w:t>Convenio de las Naciones Unidas sobre sustancias sicotrópicas.</w:t>
      </w:r>
    </w:p>
    <w:p w14:paraId="154A7CA0" w14:textId="77777777" w:rsidR="00610266" w:rsidRPr="003836A1" w:rsidRDefault="00610266" w:rsidP="003836A1">
      <w:pPr>
        <w:pStyle w:val="Ttulo2"/>
        <w:ind w:left="0"/>
        <w:jc w:val="both"/>
      </w:pPr>
    </w:p>
    <w:p w14:paraId="154A7CA1" w14:textId="77777777" w:rsidR="00610266" w:rsidRPr="003836A1" w:rsidRDefault="00F95AB8" w:rsidP="003836A1">
      <w:pPr>
        <w:pStyle w:val="Ttulo2"/>
        <w:numPr>
          <w:ilvl w:val="0"/>
          <w:numId w:val="1"/>
        </w:numPr>
        <w:ind w:left="142" w:firstLine="0"/>
        <w:jc w:val="both"/>
      </w:pPr>
      <w:bookmarkStart w:id="4" w:name="_heading=h.1fob9te" w:colFirst="0" w:colLast="0"/>
      <w:bookmarkEnd w:id="4"/>
      <w:r w:rsidRPr="003836A1">
        <w:t xml:space="preserve">Convenio Marco de la Organización Mundial de la Salud para el Control del Tabaco (2003):  </w:t>
      </w:r>
    </w:p>
    <w:p w14:paraId="154A7CA2" w14:textId="77777777" w:rsidR="00610266" w:rsidRPr="003836A1" w:rsidRDefault="00610266" w:rsidP="003836A1">
      <w:pPr>
        <w:jc w:val="both"/>
        <w:rPr>
          <w:rFonts w:ascii="Arial" w:eastAsia="Arial" w:hAnsi="Arial" w:cs="Arial"/>
          <w:b/>
          <w:i/>
        </w:rPr>
      </w:pPr>
    </w:p>
    <w:p w14:paraId="154A7CA3" w14:textId="77777777" w:rsidR="00610266" w:rsidRPr="003836A1" w:rsidRDefault="00F95AB8" w:rsidP="003836A1">
      <w:pPr>
        <w:ind w:left="426"/>
        <w:jc w:val="both"/>
        <w:rPr>
          <w:rFonts w:ascii="Arial" w:eastAsia="Arial" w:hAnsi="Arial" w:cs="Arial"/>
          <w:b/>
          <w:i/>
        </w:rPr>
      </w:pPr>
      <w:r w:rsidRPr="003836A1">
        <w:rPr>
          <w:rFonts w:ascii="Arial" w:eastAsia="Arial" w:hAnsi="Arial" w:cs="Arial"/>
          <w:b/>
          <w:i/>
        </w:rPr>
        <w:t xml:space="preserve">Artículo 4. </w:t>
      </w:r>
      <w:r w:rsidRPr="003836A1">
        <w:rPr>
          <w:rFonts w:ascii="Arial" w:eastAsia="Arial" w:hAnsi="Arial" w:cs="Arial"/>
          <w:i/>
        </w:rPr>
        <w:t>Principios básicos.</w:t>
      </w:r>
      <w:r w:rsidRPr="003836A1">
        <w:rPr>
          <w:rFonts w:ascii="Arial" w:eastAsia="Arial" w:hAnsi="Arial" w:cs="Arial"/>
          <w:b/>
          <w:i/>
        </w:rPr>
        <w:t xml:space="preserve"> </w:t>
      </w:r>
    </w:p>
    <w:p w14:paraId="154A7CA4" w14:textId="77777777" w:rsidR="00610266" w:rsidRPr="003836A1" w:rsidRDefault="00610266" w:rsidP="003836A1">
      <w:pPr>
        <w:ind w:left="426"/>
        <w:jc w:val="both"/>
        <w:rPr>
          <w:rFonts w:ascii="Arial" w:eastAsia="Arial" w:hAnsi="Arial" w:cs="Arial"/>
          <w:b/>
          <w:i/>
        </w:rPr>
      </w:pPr>
    </w:p>
    <w:p w14:paraId="154A7CA5"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1. Todos deben estar informados de las consecuencias sanitarias, la naturaleza adictiva y la amenaza mortal del consumo de tabaco y de la exposición al humo de tabaco y se deben contemplar en el nivel gubernamental apropiado medidas legislativas, ejecutivas, administrativas u otras medidas para proteger a todas las personas del humo de tabaco.</w:t>
      </w:r>
    </w:p>
    <w:p w14:paraId="154A7CA6" w14:textId="77777777" w:rsidR="00610266" w:rsidRPr="003836A1" w:rsidRDefault="00610266" w:rsidP="003836A1">
      <w:pPr>
        <w:ind w:left="426"/>
        <w:jc w:val="both"/>
        <w:rPr>
          <w:rFonts w:ascii="Arial" w:eastAsia="Arial" w:hAnsi="Arial" w:cs="Arial"/>
          <w:i/>
        </w:rPr>
      </w:pPr>
    </w:p>
    <w:p w14:paraId="154A7CA7" w14:textId="77777777" w:rsidR="00610266" w:rsidRPr="003836A1" w:rsidRDefault="00F95AB8" w:rsidP="003836A1">
      <w:pPr>
        <w:ind w:left="426"/>
        <w:jc w:val="both"/>
        <w:rPr>
          <w:rFonts w:ascii="Arial" w:eastAsia="Arial" w:hAnsi="Arial" w:cs="Arial"/>
          <w:b/>
          <w:i/>
        </w:rPr>
      </w:pPr>
      <w:r w:rsidRPr="003836A1">
        <w:rPr>
          <w:rFonts w:ascii="Arial" w:eastAsia="Arial" w:hAnsi="Arial" w:cs="Arial"/>
          <w:b/>
          <w:i/>
        </w:rPr>
        <w:t xml:space="preserve">Artículo 8. </w:t>
      </w:r>
      <w:r w:rsidRPr="003836A1">
        <w:rPr>
          <w:rFonts w:ascii="Arial" w:eastAsia="Arial" w:hAnsi="Arial" w:cs="Arial"/>
          <w:i/>
        </w:rPr>
        <w:t>Protección contra la exposición al humo de tabaco</w:t>
      </w:r>
      <w:r w:rsidRPr="003836A1">
        <w:rPr>
          <w:rFonts w:ascii="Arial" w:eastAsia="Arial" w:hAnsi="Arial" w:cs="Arial"/>
          <w:b/>
          <w:i/>
        </w:rPr>
        <w:t xml:space="preserve"> </w:t>
      </w:r>
    </w:p>
    <w:p w14:paraId="154A7CA8" w14:textId="77777777" w:rsidR="00610266" w:rsidRPr="003836A1" w:rsidRDefault="00610266" w:rsidP="003836A1">
      <w:pPr>
        <w:ind w:left="426"/>
        <w:jc w:val="both"/>
        <w:rPr>
          <w:rFonts w:ascii="Arial" w:eastAsia="Arial" w:hAnsi="Arial" w:cs="Arial"/>
          <w:i/>
        </w:rPr>
      </w:pPr>
    </w:p>
    <w:p w14:paraId="154A7CA9"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 xml:space="preserve">1. Las Partes reconocen que la ciencia ha demostrado de manera inequívoca que la exposición al humo de tabaco es causa de mortalidad, morbilidad y discapacidad. </w:t>
      </w:r>
    </w:p>
    <w:p w14:paraId="154A7CAA" w14:textId="77777777" w:rsidR="00610266" w:rsidRPr="003836A1" w:rsidRDefault="00610266" w:rsidP="003836A1">
      <w:pPr>
        <w:ind w:left="426"/>
        <w:jc w:val="both"/>
        <w:rPr>
          <w:rFonts w:ascii="Arial" w:eastAsia="Arial" w:hAnsi="Arial" w:cs="Arial"/>
          <w:i/>
        </w:rPr>
      </w:pPr>
    </w:p>
    <w:p w14:paraId="154A7CAB" w14:textId="77777777" w:rsidR="00610266" w:rsidRPr="003836A1" w:rsidRDefault="00610266" w:rsidP="003836A1">
      <w:pPr>
        <w:ind w:left="426"/>
        <w:jc w:val="both"/>
        <w:rPr>
          <w:rFonts w:ascii="Arial" w:eastAsia="Arial" w:hAnsi="Arial" w:cs="Arial"/>
          <w:i/>
        </w:rPr>
      </w:pPr>
    </w:p>
    <w:p w14:paraId="154A7CAC"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2. Cada parte adoptará y aplicará, en áreas de la jurisdicción nacional existente y conforme determine la legislación nacional, medidas legislativas, ejecutivas, administrativas y/u otras medidas eficaces de protección contra la exposición al humo de tabaco en lugares de trabajo interiores, medios de transporte público, lugares públicos cerrados y, según proceda, otros lugares públicos, y promoverá activamente la adopción y aplicación de esas medidas en otros niveles jurisdiccionales.</w:t>
      </w:r>
    </w:p>
    <w:p w14:paraId="154A7CAD" w14:textId="77777777" w:rsidR="00610266" w:rsidRPr="003836A1" w:rsidRDefault="00F95AB8" w:rsidP="003836A1">
      <w:pPr>
        <w:pStyle w:val="Ttulo2"/>
        <w:ind w:firstLine="119"/>
        <w:jc w:val="both"/>
      </w:pPr>
      <w:r w:rsidRPr="003836A1">
        <w:rPr>
          <w:b w:val="0"/>
        </w:rPr>
        <w:t xml:space="preserve"> </w:t>
      </w:r>
    </w:p>
    <w:p w14:paraId="154A7CAE" w14:textId="77777777" w:rsidR="00610266" w:rsidRPr="003836A1" w:rsidRDefault="00F95AB8" w:rsidP="003836A1">
      <w:pPr>
        <w:pStyle w:val="Ttulo2"/>
        <w:numPr>
          <w:ilvl w:val="1"/>
          <w:numId w:val="14"/>
        </w:numPr>
        <w:tabs>
          <w:tab w:val="left" w:pos="830"/>
          <w:tab w:val="left" w:pos="831"/>
        </w:tabs>
      </w:pPr>
      <w:r w:rsidRPr="003836A1">
        <w:t xml:space="preserve">MARCO CONSTITUCIONAL </w:t>
      </w:r>
    </w:p>
    <w:p w14:paraId="154A7CAF" w14:textId="77777777" w:rsidR="00610266" w:rsidRPr="003836A1" w:rsidRDefault="00610266" w:rsidP="003836A1">
      <w:pPr>
        <w:pStyle w:val="Ttulo2"/>
        <w:tabs>
          <w:tab w:val="left" w:pos="830"/>
          <w:tab w:val="left" w:pos="831"/>
        </w:tabs>
        <w:ind w:left="0"/>
      </w:pPr>
    </w:p>
    <w:p w14:paraId="154A7CB0" w14:textId="77777777" w:rsidR="00610266" w:rsidRPr="003836A1" w:rsidRDefault="00F95AB8" w:rsidP="003836A1">
      <w:pPr>
        <w:widowControl/>
        <w:ind w:left="426"/>
        <w:jc w:val="both"/>
        <w:rPr>
          <w:rFonts w:ascii="Arial" w:eastAsia="Arial" w:hAnsi="Arial" w:cs="Arial"/>
          <w:i/>
        </w:rPr>
      </w:pPr>
      <w:r w:rsidRPr="003836A1">
        <w:rPr>
          <w:rFonts w:ascii="Arial" w:eastAsia="Arial" w:hAnsi="Arial" w:cs="Arial"/>
          <w:b/>
          <w:i/>
        </w:rPr>
        <w:t>Artículo 42. </w:t>
      </w:r>
      <w:r w:rsidRPr="003836A1">
        <w:rPr>
          <w:rFonts w:ascii="Arial" w:eastAsia="Arial" w:hAnsi="Arial" w:cs="Arial"/>
          <w:i/>
        </w:rPr>
        <w:t>La familia es el núcleo fundamental de la sociedad. Se constituye por vínculos naturales o jurídicos, por la decisión libre de un hombre y una mujer de contraer matrimonio o por la voluntad responsable de conformarla.</w:t>
      </w:r>
    </w:p>
    <w:p w14:paraId="154A7CB1" w14:textId="77777777" w:rsidR="00610266" w:rsidRPr="003836A1" w:rsidRDefault="00610266" w:rsidP="003836A1">
      <w:pPr>
        <w:widowControl/>
        <w:ind w:left="426"/>
        <w:jc w:val="both"/>
        <w:rPr>
          <w:rFonts w:ascii="Arial" w:eastAsia="Arial" w:hAnsi="Arial" w:cs="Arial"/>
          <w:i/>
        </w:rPr>
      </w:pPr>
    </w:p>
    <w:p w14:paraId="154A7CB2" w14:textId="77777777" w:rsidR="00610266" w:rsidRPr="003836A1" w:rsidRDefault="00F95AB8" w:rsidP="003836A1">
      <w:pPr>
        <w:widowControl/>
        <w:ind w:left="426"/>
        <w:jc w:val="both"/>
        <w:rPr>
          <w:rFonts w:ascii="Arial" w:eastAsia="Arial" w:hAnsi="Arial" w:cs="Arial"/>
          <w:i/>
        </w:rPr>
      </w:pPr>
      <w:r w:rsidRPr="003836A1">
        <w:rPr>
          <w:rFonts w:ascii="Arial" w:eastAsia="Arial" w:hAnsi="Arial" w:cs="Arial"/>
          <w:i/>
        </w:rPr>
        <w:t>El Estado y la sociedad garantizan la protección integral de la familia. La ley podrá determinar el patrimonio familiar inalienable e inembargable. La honra, la dignidad y la intimidad de la familia son inviolables.</w:t>
      </w:r>
    </w:p>
    <w:p w14:paraId="154A7CB3" w14:textId="77777777" w:rsidR="00610266" w:rsidRPr="003836A1" w:rsidRDefault="00610266" w:rsidP="003836A1">
      <w:pPr>
        <w:widowControl/>
        <w:ind w:left="426"/>
        <w:jc w:val="both"/>
        <w:rPr>
          <w:rFonts w:ascii="Arial" w:eastAsia="Arial" w:hAnsi="Arial" w:cs="Arial"/>
          <w:i/>
        </w:rPr>
      </w:pPr>
    </w:p>
    <w:p w14:paraId="154A7CB4" w14:textId="77777777" w:rsidR="00610266" w:rsidRPr="003836A1" w:rsidRDefault="00F95AB8" w:rsidP="003836A1">
      <w:pPr>
        <w:widowControl/>
        <w:ind w:left="426"/>
        <w:jc w:val="both"/>
        <w:rPr>
          <w:rFonts w:ascii="Arial" w:eastAsia="Arial" w:hAnsi="Arial" w:cs="Arial"/>
          <w:i/>
        </w:rPr>
      </w:pPr>
      <w:r w:rsidRPr="003836A1">
        <w:rPr>
          <w:rFonts w:ascii="Arial" w:eastAsia="Arial" w:hAnsi="Arial" w:cs="Arial"/>
          <w:i/>
        </w:rPr>
        <w:t>Las relaciones familiares se basan en la igualdad de derechos y deberes de la pareja y en el respeto recíproco entre todos sus integrantes. Cualquier forma de violencia en la familia se considera destructiva de su armonía y unidad, y será sancionada conforme a la ley.</w:t>
      </w:r>
    </w:p>
    <w:p w14:paraId="154A7CB5" w14:textId="77777777" w:rsidR="00610266" w:rsidRPr="003836A1" w:rsidRDefault="00610266" w:rsidP="003836A1">
      <w:pPr>
        <w:widowControl/>
        <w:ind w:left="426"/>
        <w:jc w:val="both"/>
        <w:rPr>
          <w:rFonts w:ascii="Arial" w:eastAsia="Arial" w:hAnsi="Arial" w:cs="Arial"/>
          <w:i/>
        </w:rPr>
      </w:pPr>
    </w:p>
    <w:p w14:paraId="154A7CB6" w14:textId="77777777" w:rsidR="00610266" w:rsidRPr="003836A1" w:rsidRDefault="00F95AB8" w:rsidP="003836A1">
      <w:pPr>
        <w:widowControl/>
        <w:ind w:left="426"/>
        <w:jc w:val="both"/>
        <w:rPr>
          <w:rFonts w:ascii="Arial" w:eastAsia="Arial" w:hAnsi="Arial" w:cs="Arial"/>
          <w:i/>
        </w:rPr>
      </w:pPr>
      <w:r w:rsidRPr="003836A1">
        <w:rPr>
          <w:rFonts w:ascii="Arial" w:eastAsia="Arial" w:hAnsi="Arial" w:cs="Arial"/>
          <w:i/>
        </w:rPr>
        <w:t>Los hijos habidos en el matrimonio o fuera de él, adoptados o procreados naturalmente o con asistencia científica, tienen iguales derechos y deberes. La ley reglamentará la progenitura responsable.</w:t>
      </w:r>
    </w:p>
    <w:p w14:paraId="154A7CB7" w14:textId="77777777" w:rsidR="00610266" w:rsidRPr="003836A1" w:rsidRDefault="00610266" w:rsidP="003836A1">
      <w:pPr>
        <w:widowControl/>
        <w:ind w:left="426"/>
        <w:jc w:val="both"/>
        <w:rPr>
          <w:rFonts w:ascii="Arial" w:eastAsia="Arial" w:hAnsi="Arial" w:cs="Arial"/>
          <w:i/>
        </w:rPr>
      </w:pPr>
    </w:p>
    <w:p w14:paraId="154A7CB8" w14:textId="77777777" w:rsidR="00610266" w:rsidRPr="003836A1" w:rsidRDefault="00F95AB8" w:rsidP="003836A1">
      <w:pPr>
        <w:widowControl/>
        <w:ind w:left="426"/>
        <w:jc w:val="both"/>
        <w:rPr>
          <w:rFonts w:ascii="Arial" w:eastAsia="Arial" w:hAnsi="Arial" w:cs="Arial"/>
          <w:i/>
        </w:rPr>
      </w:pPr>
      <w:r w:rsidRPr="003836A1">
        <w:rPr>
          <w:rFonts w:ascii="Arial" w:eastAsia="Arial" w:hAnsi="Arial" w:cs="Arial"/>
          <w:i/>
        </w:rPr>
        <w:t>La pareja tiene derecho a decidir libre y responsablemente el número de sus hijos, y deberá sostenerlos y educarlos mientras sean menores o impedidos.</w:t>
      </w:r>
    </w:p>
    <w:p w14:paraId="154A7CB9" w14:textId="77777777" w:rsidR="00610266" w:rsidRPr="003836A1" w:rsidRDefault="00610266" w:rsidP="003836A1">
      <w:pPr>
        <w:widowControl/>
        <w:ind w:left="426"/>
        <w:jc w:val="both"/>
        <w:rPr>
          <w:rFonts w:ascii="Arial" w:eastAsia="Arial" w:hAnsi="Arial" w:cs="Arial"/>
          <w:i/>
        </w:rPr>
      </w:pPr>
    </w:p>
    <w:p w14:paraId="154A7CBA" w14:textId="77777777" w:rsidR="00610266" w:rsidRPr="003836A1" w:rsidRDefault="00F95AB8" w:rsidP="003836A1">
      <w:pPr>
        <w:widowControl/>
        <w:ind w:left="426"/>
        <w:jc w:val="both"/>
        <w:rPr>
          <w:rFonts w:ascii="Arial" w:eastAsia="Arial" w:hAnsi="Arial" w:cs="Arial"/>
          <w:i/>
        </w:rPr>
      </w:pPr>
      <w:r w:rsidRPr="003836A1">
        <w:rPr>
          <w:rFonts w:ascii="Arial" w:eastAsia="Arial" w:hAnsi="Arial" w:cs="Arial"/>
          <w:i/>
        </w:rPr>
        <w:t>Las formas del matrimonio, la edad y capacidad para contraerlo, los deberes y derechos de los cónyuges, su separación y la disolución del vínculo, se rigen por la ley civil.</w:t>
      </w:r>
    </w:p>
    <w:p w14:paraId="154A7CBB" w14:textId="77777777" w:rsidR="00610266" w:rsidRPr="003836A1" w:rsidRDefault="00610266" w:rsidP="003836A1">
      <w:pPr>
        <w:widowControl/>
        <w:ind w:left="426"/>
        <w:jc w:val="both"/>
        <w:rPr>
          <w:rFonts w:ascii="Arial" w:eastAsia="Arial" w:hAnsi="Arial" w:cs="Arial"/>
          <w:i/>
        </w:rPr>
      </w:pPr>
    </w:p>
    <w:p w14:paraId="154A7CBC" w14:textId="77777777" w:rsidR="00610266" w:rsidRPr="003836A1" w:rsidRDefault="00F95AB8" w:rsidP="003836A1">
      <w:pPr>
        <w:widowControl/>
        <w:ind w:left="426"/>
        <w:jc w:val="both"/>
        <w:rPr>
          <w:rFonts w:ascii="Arial" w:eastAsia="Arial" w:hAnsi="Arial" w:cs="Arial"/>
          <w:i/>
        </w:rPr>
      </w:pPr>
      <w:r w:rsidRPr="003836A1">
        <w:rPr>
          <w:rFonts w:ascii="Arial" w:eastAsia="Arial" w:hAnsi="Arial" w:cs="Arial"/>
          <w:i/>
        </w:rPr>
        <w:t>Los matrimonios religiosos tendrán efectos civiles en los términos que establezca la ley.</w:t>
      </w:r>
    </w:p>
    <w:p w14:paraId="154A7CBD" w14:textId="77777777" w:rsidR="00610266" w:rsidRPr="003836A1" w:rsidRDefault="00610266" w:rsidP="003836A1">
      <w:pPr>
        <w:widowControl/>
        <w:ind w:left="426"/>
        <w:jc w:val="both"/>
        <w:rPr>
          <w:rFonts w:ascii="Arial" w:eastAsia="Arial" w:hAnsi="Arial" w:cs="Arial"/>
          <w:i/>
        </w:rPr>
      </w:pPr>
    </w:p>
    <w:p w14:paraId="154A7CBE" w14:textId="77777777" w:rsidR="00610266" w:rsidRPr="003836A1" w:rsidRDefault="00F95AB8" w:rsidP="003836A1">
      <w:pPr>
        <w:widowControl/>
        <w:ind w:left="426"/>
        <w:jc w:val="both"/>
        <w:rPr>
          <w:rFonts w:ascii="Arial" w:eastAsia="Arial" w:hAnsi="Arial" w:cs="Arial"/>
          <w:i/>
        </w:rPr>
      </w:pPr>
      <w:r w:rsidRPr="003836A1">
        <w:rPr>
          <w:rFonts w:ascii="Arial" w:eastAsia="Arial" w:hAnsi="Arial" w:cs="Arial"/>
          <w:i/>
        </w:rPr>
        <w:t>Los efectos civiles de todo matrimonio cesarán por divorcio con arreglo a la ley civil.</w:t>
      </w:r>
    </w:p>
    <w:p w14:paraId="154A7CBF" w14:textId="77777777" w:rsidR="00610266" w:rsidRPr="003836A1" w:rsidRDefault="00610266" w:rsidP="003836A1">
      <w:pPr>
        <w:widowControl/>
        <w:ind w:left="426"/>
        <w:jc w:val="both"/>
        <w:rPr>
          <w:rFonts w:ascii="Arial" w:eastAsia="Arial" w:hAnsi="Arial" w:cs="Arial"/>
          <w:i/>
        </w:rPr>
      </w:pPr>
    </w:p>
    <w:p w14:paraId="154A7CC0" w14:textId="77777777" w:rsidR="00610266" w:rsidRPr="003836A1" w:rsidRDefault="00F95AB8" w:rsidP="003836A1">
      <w:pPr>
        <w:widowControl/>
        <w:ind w:left="426"/>
        <w:jc w:val="both"/>
        <w:rPr>
          <w:rFonts w:ascii="Arial" w:eastAsia="Arial" w:hAnsi="Arial" w:cs="Arial"/>
          <w:i/>
        </w:rPr>
      </w:pPr>
      <w:r w:rsidRPr="003836A1">
        <w:rPr>
          <w:rFonts w:ascii="Arial" w:eastAsia="Arial" w:hAnsi="Arial" w:cs="Arial"/>
          <w:i/>
        </w:rPr>
        <w:t>También tendrán efectos civiles las sentencias de nulidad de los matrimonios religiosos dictadas por las autoridades de la respectiva religión, en los términos que establezca la ley.</w:t>
      </w:r>
    </w:p>
    <w:p w14:paraId="154A7CC1" w14:textId="77777777" w:rsidR="00610266" w:rsidRPr="003836A1" w:rsidRDefault="00610266" w:rsidP="003836A1">
      <w:pPr>
        <w:widowControl/>
        <w:ind w:left="426"/>
        <w:jc w:val="both"/>
        <w:rPr>
          <w:rFonts w:ascii="Arial" w:eastAsia="Arial" w:hAnsi="Arial" w:cs="Arial"/>
          <w:i/>
        </w:rPr>
      </w:pPr>
    </w:p>
    <w:p w14:paraId="154A7CC2" w14:textId="77777777" w:rsidR="00610266" w:rsidRPr="003836A1" w:rsidRDefault="00F95AB8" w:rsidP="003836A1">
      <w:pPr>
        <w:widowControl/>
        <w:ind w:left="426"/>
        <w:jc w:val="both"/>
        <w:rPr>
          <w:rFonts w:ascii="Arial" w:eastAsia="Arial" w:hAnsi="Arial" w:cs="Arial"/>
          <w:i/>
        </w:rPr>
      </w:pPr>
      <w:r w:rsidRPr="003836A1">
        <w:rPr>
          <w:rFonts w:ascii="Arial" w:eastAsia="Arial" w:hAnsi="Arial" w:cs="Arial"/>
          <w:i/>
        </w:rPr>
        <w:t>La ley determinará lo relativo al estado civil de las personas y los consiguientes derechos y deberes.</w:t>
      </w:r>
    </w:p>
    <w:p w14:paraId="154A7CC3" w14:textId="77777777" w:rsidR="00610266" w:rsidRPr="003836A1" w:rsidRDefault="00610266" w:rsidP="003836A1">
      <w:pPr>
        <w:pStyle w:val="Ttulo2"/>
        <w:tabs>
          <w:tab w:val="left" w:pos="830"/>
          <w:tab w:val="left" w:pos="831"/>
        </w:tabs>
        <w:ind w:left="426"/>
        <w:rPr>
          <w:i/>
        </w:rPr>
      </w:pPr>
    </w:p>
    <w:p w14:paraId="154A7CC4"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b/>
          <w:i/>
        </w:rPr>
        <w:t>Artículo 44. </w:t>
      </w:r>
      <w:r w:rsidRPr="003836A1">
        <w:rPr>
          <w:rFonts w:ascii="Arial" w:eastAsia="Arial" w:hAnsi="Arial" w:cs="Arial"/>
          <w:i/>
        </w:rPr>
        <w:t>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w:t>
      </w:r>
    </w:p>
    <w:p w14:paraId="154A7CC5" w14:textId="77777777" w:rsidR="00610266" w:rsidRPr="003836A1" w:rsidRDefault="00610266" w:rsidP="003836A1">
      <w:pPr>
        <w:widowControl/>
        <w:shd w:val="clear" w:color="auto" w:fill="FFFFFF"/>
        <w:ind w:left="426"/>
        <w:jc w:val="both"/>
        <w:rPr>
          <w:rFonts w:ascii="Arial" w:eastAsia="Arial" w:hAnsi="Arial" w:cs="Arial"/>
          <w:i/>
        </w:rPr>
      </w:pPr>
    </w:p>
    <w:p w14:paraId="154A7CC6"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La familia, la sociedad y el Estado tienen la obligación de asistir y proteger al niño para garantizar su desarrollo armónico e integral y el ejercicio pleno de sus derechos. Cualquier persona puede exigir de la autoridad competente su cumplimiento y la sanción de los infractores.</w:t>
      </w:r>
    </w:p>
    <w:p w14:paraId="154A7CC7" w14:textId="77777777" w:rsidR="00610266" w:rsidRPr="003836A1" w:rsidRDefault="00610266" w:rsidP="003836A1">
      <w:pPr>
        <w:widowControl/>
        <w:shd w:val="clear" w:color="auto" w:fill="FFFFFF"/>
        <w:ind w:left="426"/>
        <w:jc w:val="both"/>
        <w:rPr>
          <w:rFonts w:ascii="Arial" w:eastAsia="Arial" w:hAnsi="Arial" w:cs="Arial"/>
          <w:i/>
        </w:rPr>
      </w:pPr>
    </w:p>
    <w:p w14:paraId="154A7CC8"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Los derechos de los niños prevalecen sobre los derechos de los demás.</w:t>
      </w:r>
    </w:p>
    <w:p w14:paraId="154A7CC9" w14:textId="77777777" w:rsidR="00610266" w:rsidRPr="003836A1" w:rsidRDefault="00610266" w:rsidP="003836A1">
      <w:pPr>
        <w:widowControl/>
        <w:shd w:val="clear" w:color="auto" w:fill="FFFFFF"/>
        <w:ind w:left="426"/>
        <w:jc w:val="both"/>
        <w:rPr>
          <w:rFonts w:ascii="Arial" w:eastAsia="Arial" w:hAnsi="Arial" w:cs="Arial"/>
          <w:b/>
          <w:i/>
        </w:rPr>
      </w:pPr>
    </w:p>
    <w:p w14:paraId="154A7CCA"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b/>
          <w:i/>
        </w:rPr>
        <w:t>Artículo 45. </w:t>
      </w:r>
      <w:r w:rsidRPr="003836A1">
        <w:rPr>
          <w:rFonts w:ascii="Arial" w:eastAsia="Arial" w:hAnsi="Arial" w:cs="Arial"/>
          <w:i/>
        </w:rPr>
        <w:t>El adolescente tiene derecho a la protección y a la formación integral.</w:t>
      </w:r>
    </w:p>
    <w:p w14:paraId="154A7CCB" w14:textId="77777777" w:rsidR="00610266" w:rsidRPr="003836A1" w:rsidRDefault="00610266" w:rsidP="003836A1">
      <w:pPr>
        <w:widowControl/>
        <w:shd w:val="clear" w:color="auto" w:fill="FFFFFF"/>
        <w:ind w:left="426"/>
        <w:jc w:val="both"/>
        <w:rPr>
          <w:rFonts w:ascii="Arial" w:eastAsia="Arial" w:hAnsi="Arial" w:cs="Arial"/>
          <w:i/>
        </w:rPr>
      </w:pPr>
    </w:p>
    <w:p w14:paraId="154A7CCC"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El Estado y la sociedad garantizan la participación activa de los jóvenes en los organismos públicos y privados que tengan a cargo la protección, educación y progreso de la juventud.</w:t>
      </w:r>
    </w:p>
    <w:p w14:paraId="154A7CCD" w14:textId="77777777" w:rsidR="00610266" w:rsidRPr="003836A1" w:rsidRDefault="00610266" w:rsidP="003836A1">
      <w:pPr>
        <w:pStyle w:val="Ttulo2"/>
        <w:tabs>
          <w:tab w:val="left" w:pos="830"/>
          <w:tab w:val="left" w:pos="831"/>
        </w:tabs>
        <w:ind w:left="426"/>
        <w:rPr>
          <w:i/>
        </w:rPr>
      </w:pPr>
    </w:p>
    <w:p w14:paraId="154A7CCE"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b/>
          <w:i/>
        </w:rPr>
        <w:t>Artículo 79.</w:t>
      </w:r>
      <w:r w:rsidRPr="003836A1">
        <w:rPr>
          <w:rFonts w:ascii="Arial" w:eastAsia="Arial" w:hAnsi="Arial" w:cs="Arial"/>
          <w:i/>
        </w:rPr>
        <w:t xml:space="preserve"> Todas las personas tienen derecho a gozar de un ambiente sano. La ley garantizará la participación de la comunidad en las decisiones que puedan afectarlo. Es deber del Estado proteger la diversidad e integridad del ambiente, conservar las áreas de especial importancia ecológica y fomentar la educación para el logro de estos fines. </w:t>
      </w:r>
    </w:p>
    <w:p w14:paraId="154A7CCF" w14:textId="77777777" w:rsidR="00F5339D" w:rsidRPr="003836A1" w:rsidRDefault="00F5339D" w:rsidP="003836A1">
      <w:pPr>
        <w:ind w:left="426"/>
        <w:jc w:val="both"/>
        <w:rPr>
          <w:rFonts w:ascii="Arial" w:eastAsia="Arial" w:hAnsi="Arial" w:cs="Arial"/>
          <w:b/>
          <w:i/>
        </w:rPr>
      </w:pPr>
      <w:bookmarkStart w:id="5" w:name="bookmark=id.3znysh7" w:colFirst="0" w:colLast="0"/>
      <w:bookmarkEnd w:id="5"/>
    </w:p>
    <w:p w14:paraId="154A7CD0" w14:textId="77777777" w:rsidR="00610266" w:rsidRPr="003836A1" w:rsidRDefault="00F95AB8" w:rsidP="003836A1">
      <w:pPr>
        <w:ind w:left="426"/>
        <w:jc w:val="both"/>
        <w:rPr>
          <w:rFonts w:ascii="Arial" w:eastAsia="Arial" w:hAnsi="Arial" w:cs="Arial"/>
          <w:i/>
        </w:rPr>
      </w:pPr>
      <w:r w:rsidRPr="003836A1">
        <w:rPr>
          <w:rFonts w:ascii="Arial" w:eastAsia="Arial" w:hAnsi="Arial" w:cs="Arial"/>
          <w:b/>
          <w:i/>
        </w:rPr>
        <w:t>Artículo 88</w:t>
      </w:r>
      <w:r w:rsidRPr="003836A1">
        <w:rPr>
          <w:rFonts w:ascii="Arial" w:eastAsia="Arial" w:hAnsi="Arial" w:cs="Arial"/>
          <w:i/>
        </w:rPr>
        <w:t>. La ley regulará las acciones populares para la protección de los derechos e intereses colectivos, relacionados con el patrimonio, el espacio, la seguridad y la salubridad públicos, la moral administrativa, el ambiente, la libre competencia económica y otros de similar naturaleza que se definen en ella.</w:t>
      </w:r>
    </w:p>
    <w:p w14:paraId="154A7CD1"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También regulará las acciones originadas en los daños ocasionados a un número plural de personas, sin perjuicio de las correspondientes acciones particulares. (negrilla y subrayado por fuera de texto)</w:t>
      </w:r>
    </w:p>
    <w:p w14:paraId="154A7CD2" w14:textId="77777777" w:rsidR="00610266" w:rsidRPr="003836A1" w:rsidRDefault="00F95AB8" w:rsidP="003836A1">
      <w:pPr>
        <w:pStyle w:val="Ttulo2"/>
        <w:tabs>
          <w:tab w:val="left" w:pos="830"/>
          <w:tab w:val="left" w:pos="831"/>
        </w:tabs>
        <w:ind w:left="426"/>
        <w:rPr>
          <w:b w:val="0"/>
          <w:i/>
        </w:rPr>
      </w:pPr>
      <w:r w:rsidRPr="003836A1">
        <w:rPr>
          <w:b w:val="0"/>
          <w:i/>
        </w:rPr>
        <w:t>Así mismo, definirá los casos de responsabilidad civil objetiva por el daño inferido a los derechos e intereses colectivos</w:t>
      </w:r>
    </w:p>
    <w:p w14:paraId="154A7CD3" w14:textId="77777777" w:rsidR="00610266" w:rsidRPr="003836A1" w:rsidRDefault="00610266" w:rsidP="003836A1">
      <w:pPr>
        <w:pStyle w:val="Ttulo2"/>
        <w:tabs>
          <w:tab w:val="left" w:pos="830"/>
          <w:tab w:val="left" w:pos="831"/>
        </w:tabs>
        <w:ind w:left="479"/>
      </w:pPr>
    </w:p>
    <w:p w14:paraId="154A7CD4" w14:textId="77777777" w:rsidR="00F5339D" w:rsidRPr="003836A1" w:rsidRDefault="00F5339D" w:rsidP="003836A1">
      <w:pPr>
        <w:rPr>
          <w:rFonts w:ascii="Arial" w:hAnsi="Arial" w:cs="Arial"/>
        </w:rPr>
      </w:pPr>
    </w:p>
    <w:p w14:paraId="154A7CD5" w14:textId="77777777" w:rsidR="00F5339D" w:rsidRPr="003836A1" w:rsidRDefault="00F5339D" w:rsidP="003836A1">
      <w:pPr>
        <w:rPr>
          <w:rFonts w:ascii="Arial" w:hAnsi="Arial" w:cs="Arial"/>
        </w:rPr>
      </w:pPr>
    </w:p>
    <w:p w14:paraId="154A7CD6" w14:textId="77777777" w:rsidR="00F5339D" w:rsidRPr="003836A1" w:rsidRDefault="00F5339D" w:rsidP="003836A1">
      <w:pPr>
        <w:rPr>
          <w:rFonts w:ascii="Arial" w:hAnsi="Arial" w:cs="Arial"/>
        </w:rPr>
      </w:pPr>
    </w:p>
    <w:p w14:paraId="154A7CD7" w14:textId="77777777" w:rsidR="00F5339D" w:rsidRPr="003836A1" w:rsidRDefault="00F5339D" w:rsidP="003836A1">
      <w:pPr>
        <w:rPr>
          <w:rFonts w:ascii="Arial" w:hAnsi="Arial" w:cs="Arial"/>
        </w:rPr>
      </w:pPr>
    </w:p>
    <w:p w14:paraId="154A7CD8" w14:textId="77777777" w:rsidR="00610266" w:rsidRPr="003836A1" w:rsidRDefault="00F95AB8" w:rsidP="003836A1">
      <w:pPr>
        <w:pStyle w:val="Ttulo2"/>
        <w:numPr>
          <w:ilvl w:val="1"/>
          <w:numId w:val="14"/>
        </w:numPr>
        <w:tabs>
          <w:tab w:val="left" w:pos="830"/>
          <w:tab w:val="left" w:pos="831"/>
        </w:tabs>
      </w:pPr>
      <w:r w:rsidRPr="003836A1">
        <w:t>ORDEN NACIONAL</w:t>
      </w:r>
    </w:p>
    <w:p w14:paraId="154A7CD9" w14:textId="77777777" w:rsidR="00610266" w:rsidRPr="003836A1" w:rsidRDefault="00610266" w:rsidP="003836A1">
      <w:pPr>
        <w:pStyle w:val="Ttulo2"/>
        <w:tabs>
          <w:tab w:val="left" w:pos="830"/>
          <w:tab w:val="left" w:pos="831"/>
        </w:tabs>
        <w:ind w:left="0"/>
      </w:pPr>
    </w:p>
    <w:p w14:paraId="154A7CDA" w14:textId="77777777" w:rsidR="00610266" w:rsidRPr="003836A1" w:rsidRDefault="00F95AB8" w:rsidP="003836A1">
      <w:pPr>
        <w:widowControl/>
        <w:numPr>
          <w:ilvl w:val="0"/>
          <w:numId w:val="2"/>
        </w:numPr>
        <w:pBdr>
          <w:top w:val="nil"/>
          <w:left w:val="nil"/>
          <w:bottom w:val="nil"/>
          <w:right w:val="nil"/>
          <w:between w:val="nil"/>
        </w:pBdr>
        <w:ind w:left="142" w:firstLine="0"/>
        <w:jc w:val="both"/>
        <w:rPr>
          <w:rFonts w:ascii="Arial" w:eastAsia="Arial" w:hAnsi="Arial" w:cs="Arial"/>
          <w:i/>
        </w:rPr>
      </w:pPr>
      <w:r w:rsidRPr="003836A1">
        <w:rPr>
          <w:rFonts w:ascii="Arial" w:eastAsia="Arial" w:hAnsi="Arial" w:cs="Arial"/>
          <w:b/>
        </w:rPr>
        <w:t>Ley 715 de 2001</w:t>
      </w:r>
      <w:r w:rsidRPr="003836A1">
        <w:rPr>
          <w:rFonts w:ascii="Arial" w:eastAsia="Arial" w:hAnsi="Arial" w:cs="Arial"/>
        </w:rPr>
        <w:t>. “</w:t>
      </w:r>
      <w:r w:rsidRPr="003836A1">
        <w:rPr>
          <w:rFonts w:ascii="Arial" w:eastAsia="Arial" w:hAnsi="Arial" w:cs="Arial"/>
          <w:i/>
        </w:rPr>
        <w:t>Por la cual se dictan normas orgánicas en materia de recursos y competencias de conformidad con los artículos </w:t>
      </w:r>
      <w:hyperlink r:id="rId8" w:anchor="151">
        <w:r w:rsidRPr="003836A1">
          <w:rPr>
            <w:rFonts w:ascii="Arial" w:eastAsia="Arial" w:hAnsi="Arial" w:cs="Arial"/>
            <w:i/>
          </w:rPr>
          <w:t>151</w:t>
        </w:r>
      </w:hyperlink>
      <w:r w:rsidRPr="003836A1">
        <w:rPr>
          <w:rFonts w:ascii="Arial" w:eastAsia="Arial" w:hAnsi="Arial" w:cs="Arial"/>
          <w:i/>
        </w:rPr>
        <w:t>, </w:t>
      </w:r>
      <w:hyperlink r:id="rId9" w:anchor="288">
        <w:r w:rsidRPr="003836A1">
          <w:rPr>
            <w:rFonts w:ascii="Arial" w:eastAsia="Arial" w:hAnsi="Arial" w:cs="Arial"/>
            <w:i/>
          </w:rPr>
          <w:t>288</w:t>
        </w:r>
      </w:hyperlink>
      <w:r w:rsidRPr="003836A1">
        <w:rPr>
          <w:rFonts w:ascii="Arial" w:eastAsia="Arial" w:hAnsi="Arial" w:cs="Arial"/>
          <w:i/>
        </w:rPr>
        <w:t>, </w:t>
      </w:r>
      <w:hyperlink r:id="rId10" w:anchor="356">
        <w:r w:rsidRPr="003836A1">
          <w:rPr>
            <w:rFonts w:ascii="Arial" w:eastAsia="Arial" w:hAnsi="Arial" w:cs="Arial"/>
            <w:i/>
          </w:rPr>
          <w:t>356</w:t>
        </w:r>
      </w:hyperlink>
      <w:r w:rsidRPr="003836A1">
        <w:rPr>
          <w:rFonts w:ascii="Arial" w:eastAsia="Arial" w:hAnsi="Arial" w:cs="Arial"/>
          <w:i/>
        </w:rPr>
        <w:t> y </w:t>
      </w:r>
      <w:hyperlink r:id="rId11" w:anchor="357">
        <w:r w:rsidRPr="003836A1">
          <w:rPr>
            <w:rFonts w:ascii="Arial" w:eastAsia="Arial" w:hAnsi="Arial" w:cs="Arial"/>
            <w:i/>
          </w:rPr>
          <w:t>357</w:t>
        </w:r>
      </w:hyperlink>
      <w:r w:rsidRPr="003836A1">
        <w:rPr>
          <w:rFonts w:ascii="Arial" w:eastAsia="Arial" w:hAnsi="Arial" w:cs="Arial"/>
          <w:i/>
        </w:rPr>
        <w:t> (Acto Legislativo </w:t>
      </w:r>
      <w:hyperlink r:id="rId12" w:anchor="1">
        <w:r w:rsidRPr="003836A1">
          <w:rPr>
            <w:rFonts w:ascii="Arial" w:eastAsia="Arial" w:hAnsi="Arial" w:cs="Arial"/>
            <w:i/>
          </w:rPr>
          <w:t>01</w:t>
        </w:r>
      </w:hyperlink>
      <w:r w:rsidRPr="003836A1">
        <w:rPr>
          <w:rFonts w:ascii="Arial" w:eastAsia="Arial" w:hAnsi="Arial" w:cs="Arial"/>
          <w:i/>
        </w:rPr>
        <w:t> de 2001) de la Constitución Política y se dictan otras disposiciones para organizar la prestación de los servicios de educación y salud, entre otros.”</w:t>
      </w:r>
    </w:p>
    <w:p w14:paraId="154A7CDB" w14:textId="77777777" w:rsidR="00610266" w:rsidRPr="003836A1" w:rsidRDefault="00610266" w:rsidP="003836A1">
      <w:pPr>
        <w:widowControl/>
        <w:pBdr>
          <w:top w:val="nil"/>
          <w:left w:val="nil"/>
          <w:bottom w:val="nil"/>
          <w:right w:val="nil"/>
          <w:between w:val="nil"/>
        </w:pBdr>
        <w:ind w:left="142"/>
        <w:jc w:val="both"/>
        <w:rPr>
          <w:rFonts w:ascii="Arial" w:eastAsia="Arial" w:hAnsi="Arial" w:cs="Arial"/>
          <w:i/>
        </w:rPr>
      </w:pPr>
    </w:p>
    <w:p w14:paraId="154A7CDC" w14:textId="77777777" w:rsidR="00610266" w:rsidRPr="003836A1" w:rsidRDefault="00F95AB8" w:rsidP="003836A1">
      <w:pPr>
        <w:widowControl/>
        <w:pBdr>
          <w:top w:val="nil"/>
          <w:left w:val="nil"/>
          <w:bottom w:val="nil"/>
          <w:right w:val="nil"/>
          <w:between w:val="nil"/>
        </w:pBdr>
        <w:ind w:left="426"/>
        <w:jc w:val="both"/>
        <w:rPr>
          <w:rFonts w:ascii="Arial" w:eastAsia="Arial" w:hAnsi="Arial" w:cs="Arial"/>
          <w:i/>
        </w:rPr>
      </w:pPr>
      <w:bookmarkStart w:id="6" w:name="bookmark=id.2et92p0" w:colFirst="0" w:colLast="0"/>
      <w:bookmarkEnd w:id="6"/>
      <w:r w:rsidRPr="003836A1">
        <w:rPr>
          <w:rFonts w:ascii="Arial" w:eastAsia="Arial" w:hAnsi="Arial" w:cs="Arial"/>
          <w:b/>
          <w:i/>
        </w:rPr>
        <w:t>Artículo 45.</w:t>
      </w:r>
      <w:r w:rsidRPr="003836A1">
        <w:rPr>
          <w:rFonts w:ascii="Arial" w:eastAsia="Arial" w:hAnsi="Arial" w:cs="Arial"/>
          <w:i/>
        </w:rPr>
        <w:t xml:space="preserve"> </w:t>
      </w:r>
      <w:r w:rsidRPr="003836A1">
        <w:rPr>
          <w:rFonts w:ascii="Arial" w:eastAsia="Arial" w:hAnsi="Arial" w:cs="Arial"/>
          <w:b/>
          <w:i/>
        </w:rPr>
        <w:t>Competencias en salud por parte de los distritos</w:t>
      </w:r>
      <w:r w:rsidRPr="003836A1">
        <w:rPr>
          <w:rFonts w:ascii="Arial" w:eastAsia="Arial" w:hAnsi="Arial" w:cs="Arial"/>
          <w:i/>
        </w:rPr>
        <w:t>. &lt;ver notas del editor&gt; los distritos tendrán las mismas competencias que los municipios y departamentos, excepto aquellas que correspondan a la función de intermediación entre los municipios y la nación.</w:t>
      </w:r>
    </w:p>
    <w:p w14:paraId="154A7CDD" w14:textId="77777777" w:rsidR="00610266" w:rsidRPr="003836A1" w:rsidRDefault="00610266" w:rsidP="003836A1">
      <w:pPr>
        <w:widowControl/>
        <w:pBdr>
          <w:top w:val="nil"/>
          <w:left w:val="nil"/>
          <w:bottom w:val="nil"/>
          <w:right w:val="nil"/>
          <w:between w:val="nil"/>
        </w:pBdr>
        <w:jc w:val="both"/>
        <w:rPr>
          <w:rFonts w:ascii="Arial" w:eastAsia="Arial" w:hAnsi="Arial" w:cs="Arial"/>
          <w:i/>
        </w:rPr>
      </w:pPr>
    </w:p>
    <w:p w14:paraId="154A7CDE" w14:textId="77777777" w:rsidR="00610266" w:rsidRPr="003836A1" w:rsidRDefault="00F95AB8" w:rsidP="003836A1">
      <w:pPr>
        <w:widowControl/>
        <w:pBdr>
          <w:top w:val="nil"/>
          <w:left w:val="nil"/>
          <w:bottom w:val="nil"/>
          <w:right w:val="nil"/>
          <w:between w:val="nil"/>
        </w:pBdr>
        <w:ind w:left="426" w:hanging="11"/>
        <w:jc w:val="both"/>
        <w:rPr>
          <w:rFonts w:ascii="Arial" w:eastAsia="Arial" w:hAnsi="Arial" w:cs="Arial"/>
          <w:i/>
        </w:rPr>
      </w:pPr>
      <w:r w:rsidRPr="003836A1">
        <w:rPr>
          <w:rFonts w:ascii="Arial" w:eastAsia="Arial" w:hAnsi="Arial" w:cs="Arial"/>
          <w:i/>
        </w:rPr>
        <w:t>La prestación de los servicios de salud en los distritos de Barranquilla, Cartagena y Santa Marta se articulará a la red de prestación de servicios de salud de los respectivos departamentos. En los mencionados distritos, el laboratorio departamental de salud pública cumplirá igualmente con las funciones de laboratorio distrital.</w:t>
      </w:r>
    </w:p>
    <w:p w14:paraId="154A7CDF" w14:textId="77777777" w:rsidR="00610266" w:rsidRPr="003836A1" w:rsidRDefault="00610266" w:rsidP="003836A1">
      <w:pPr>
        <w:widowControl/>
        <w:pBdr>
          <w:top w:val="nil"/>
          <w:left w:val="nil"/>
          <w:bottom w:val="nil"/>
          <w:right w:val="nil"/>
          <w:between w:val="nil"/>
        </w:pBdr>
        <w:ind w:left="426" w:hanging="11"/>
        <w:jc w:val="both"/>
        <w:rPr>
          <w:rFonts w:ascii="Arial" w:eastAsia="Arial" w:hAnsi="Arial" w:cs="Arial"/>
          <w:i/>
        </w:rPr>
      </w:pPr>
    </w:p>
    <w:p w14:paraId="154A7CE0" w14:textId="77777777" w:rsidR="00610266" w:rsidRPr="003836A1" w:rsidRDefault="00F95AB8" w:rsidP="003836A1">
      <w:pPr>
        <w:widowControl/>
        <w:pBdr>
          <w:top w:val="nil"/>
          <w:left w:val="nil"/>
          <w:bottom w:val="nil"/>
          <w:right w:val="nil"/>
          <w:between w:val="nil"/>
        </w:pBdr>
        <w:ind w:left="426" w:hanging="11"/>
        <w:jc w:val="both"/>
        <w:rPr>
          <w:rFonts w:ascii="Arial" w:eastAsia="Arial" w:hAnsi="Arial" w:cs="Arial"/>
          <w:i/>
        </w:rPr>
      </w:pPr>
      <w:r w:rsidRPr="003836A1">
        <w:rPr>
          <w:rFonts w:ascii="Arial" w:eastAsia="Arial" w:hAnsi="Arial" w:cs="Arial"/>
          <w:i/>
        </w:rPr>
        <w:t>Parágrafo. &lt;parágrafo adicionado por el artículo </w:t>
      </w:r>
      <w:hyperlink r:id="rId13" w:anchor="26">
        <w:r w:rsidRPr="003836A1">
          <w:rPr>
            <w:rFonts w:ascii="Arial" w:eastAsia="Arial" w:hAnsi="Arial" w:cs="Arial"/>
            <w:i/>
          </w:rPr>
          <w:t>26</w:t>
        </w:r>
      </w:hyperlink>
      <w:r w:rsidRPr="003836A1">
        <w:rPr>
          <w:rFonts w:ascii="Arial" w:eastAsia="Arial" w:hAnsi="Arial" w:cs="Arial"/>
          <w:i/>
        </w:rPr>
        <w:t> de la ley 1176 de 2007. El nuevo texto es el siguiente:&gt; los distritos y municipios que no hayan asumido la prestación de los servicios de salud podrán hacerlo si cumplen con la reglamentación que para el efecto expida el gobierno, y tendrán el plazo definido por este.</w:t>
      </w:r>
    </w:p>
    <w:p w14:paraId="154A7CE1" w14:textId="77777777" w:rsidR="00610266" w:rsidRPr="003836A1" w:rsidRDefault="00610266" w:rsidP="003836A1">
      <w:pPr>
        <w:widowControl/>
        <w:pBdr>
          <w:top w:val="nil"/>
          <w:left w:val="nil"/>
          <w:bottom w:val="nil"/>
          <w:right w:val="nil"/>
          <w:between w:val="nil"/>
        </w:pBdr>
        <w:ind w:left="426" w:hanging="11"/>
        <w:jc w:val="both"/>
        <w:rPr>
          <w:rFonts w:ascii="Arial" w:eastAsia="Arial" w:hAnsi="Arial" w:cs="Arial"/>
          <w:i/>
        </w:rPr>
      </w:pPr>
    </w:p>
    <w:p w14:paraId="154A7CE2" w14:textId="77777777" w:rsidR="00610266" w:rsidRPr="003836A1" w:rsidRDefault="00F95AB8" w:rsidP="003836A1">
      <w:pPr>
        <w:widowControl/>
        <w:pBdr>
          <w:top w:val="nil"/>
          <w:left w:val="nil"/>
          <w:bottom w:val="nil"/>
          <w:right w:val="nil"/>
          <w:between w:val="nil"/>
        </w:pBdr>
        <w:ind w:left="426" w:hanging="11"/>
        <w:jc w:val="both"/>
        <w:rPr>
          <w:rFonts w:ascii="Arial" w:eastAsia="Arial" w:hAnsi="Arial" w:cs="Arial"/>
          <w:i/>
        </w:rPr>
      </w:pPr>
      <w:bookmarkStart w:id="7" w:name="bookmark=id.tyjcwt" w:colFirst="0" w:colLast="0"/>
      <w:bookmarkEnd w:id="7"/>
      <w:r w:rsidRPr="003836A1">
        <w:rPr>
          <w:rFonts w:ascii="Arial" w:eastAsia="Arial" w:hAnsi="Arial" w:cs="Arial"/>
          <w:b/>
          <w:i/>
        </w:rPr>
        <w:t>Artículo 46</w:t>
      </w:r>
      <w:r w:rsidRPr="003836A1">
        <w:rPr>
          <w:rFonts w:ascii="Arial" w:eastAsia="Arial" w:hAnsi="Arial" w:cs="Arial"/>
          <w:i/>
        </w:rPr>
        <w:t xml:space="preserve">. </w:t>
      </w:r>
      <w:r w:rsidRPr="003836A1">
        <w:rPr>
          <w:rFonts w:ascii="Arial" w:eastAsia="Arial" w:hAnsi="Arial" w:cs="Arial"/>
          <w:b/>
          <w:i/>
        </w:rPr>
        <w:t>Competencias en salud pública.</w:t>
      </w:r>
      <w:r w:rsidRPr="003836A1">
        <w:rPr>
          <w:rFonts w:ascii="Arial" w:eastAsia="Arial" w:hAnsi="Arial" w:cs="Arial"/>
          <w:i/>
        </w:rPr>
        <w:t xml:space="preserve"> La gestión en salud pública es función esencial del estado y para tal fin la nación y las entidades territoriales concurrirán en su ejecución en los términos señalados en la presente ley. Las entidades territoriales tendrán a su cargo la ejecución de las acciones de salud pública en la promoción y prevención dirigidas a la población de su jurisdicción.</w:t>
      </w:r>
    </w:p>
    <w:p w14:paraId="154A7CE3" w14:textId="77777777" w:rsidR="00610266" w:rsidRPr="003836A1" w:rsidRDefault="00610266" w:rsidP="003836A1">
      <w:pPr>
        <w:widowControl/>
        <w:pBdr>
          <w:top w:val="nil"/>
          <w:left w:val="nil"/>
          <w:bottom w:val="nil"/>
          <w:right w:val="nil"/>
          <w:between w:val="nil"/>
        </w:pBdr>
        <w:ind w:left="426" w:hanging="11"/>
        <w:jc w:val="both"/>
        <w:rPr>
          <w:rFonts w:ascii="Arial" w:eastAsia="Arial" w:hAnsi="Arial" w:cs="Arial"/>
          <w:i/>
        </w:rPr>
      </w:pPr>
    </w:p>
    <w:p w14:paraId="154A7CE4" w14:textId="77777777" w:rsidR="00610266" w:rsidRPr="003836A1" w:rsidRDefault="00F95AB8" w:rsidP="003836A1">
      <w:pPr>
        <w:widowControl/>
        <w:pBdr>
          <w:top w:val="nil"/>
          <w:left w:val="nil"/>
          <w:bottom w:val="nil"/>
          <w:right w:val="nil"/>
          <w:between w:val="nil"/>
        </w:pBdr>
        <w:ind w:left="426" w:hanging="11"/>
        <w:jc w:val="both"/>
        <w:rPr>
          <w:rFonts w:ascii="Arial" w:eastAsia="Arial" w:hAnsi="Arial" w:cs="Arial"/>
          <w:i/>
        </w:rPr>
      </w:pPr>
      <w:r w:rsidRPr="003836A1">
        <w:rPr>
          <w:rFonts w:ascii="Arial" w:eastAsia="Arial" w:hAnsi="Arial" w:cs="Arial"/>
          <w:i/>
        </w:rPr>
        <w:t>&lt;inciso condicionalmente exequible&gt; los distritos y municipios asumirán las acciones de promoción y prevención, que incluyen aquellas que a la fecha de entrar en vigencia la presente ley, hacían parte del plan obligatorio de salud subsidiado. Para tal fin, los recursos que financiaban estas acciones, se descontarán de la unidad de pago por capitación del régimen subsidiado, en la proporción que defina el consejo nacional de seguridad social en salud, con el fin de financiar estas acciones. Exceptúese de lo anterior, a las administradoras del régimen subsidiado indígenas y a las entidades promotoras de salud indígenas.</w:t>
      </w:r>
    </w:p>
    <w:p w14:paraId="154A7CE5" w14:textId="77777777" w:rsidR="00610266" w:rsidRPr="003836A1" w:rsidRDefault="00610266" w:rsidP="003836A1">
      <w:pPr>
        <w:widowControl/>
        <w:pBdr>
          <w:top w:val="nil"/>
          <w:left w:val="nil"/>
          <w:bottom w:val="nil"/>
          <w:right w:val="nil"/>
          <w:between w:val="nil"/>
        </w:pBdr>
        <w:ind w:left="426" w:hanging="11"/>
        <w:jc w:val="both"/>
        <w:rPr>
          <w:rFonts w:ascii="Arial" w:eastAsia="Arial" w:hAnsi="Arial" w:cs="Arial"/>
          <w:i/>
        </w:rPr>
      </w:pPr>
    </w:p>
    <w:p w14:paraId="154A7CE6" w14:textId="77777777" w:rsidR="00610266" w:rsidRPr="003836A1" w:rsidRDefault="00F95AB8" w:rsidP="003836A1">
      <w:pPr>
        <w:widowControl/>
        <w:pBdr>
          <w:top w:val="nil"/>
          <w:left w:val="nil"/>
          <w:bottom w:val="nil"/>
          <w:right w:val="nil"/>
          <w:between w:val="nil"/>
        </w:pBdr>
        <w:ind w:left="426" w:hanging="11"/>
        <w:jc w:val="both"/>
        <w:rPr>
          <w:rFonts w:ascii="Arial" w:eastAsia="Arial" w:hAnsi="Arial" w:cs="Arial"/>
          <w:i/>
        </w:rPr>
      </w:pPr>
      <w:r w:rsidRPr="003836A1">
        <w:rPr>
          <w:rFonts w:ascii="Arial" w:eastAsia="Arial" w:hAnsi="Arial" w:cs="Arial"/>
          <w:i/>
        </w:rPr>
        <w:t>Los municipios y distritos deberán elaborar e incorporar al plan de atención básica las acciones señaladas en el presente artículo, el cual deberá ser elaborado con la participación de la comunidad y bajo la dirección del consejo territorial de seguridad social en salud. A partir del año 2003, sin la existencia de este plan estos recursos se girarán directamente al departamento para su administración. Igual ocurrirá cuando la evaluación de la ejecución del plan no sea satisfactoria.</w:t>
      </w:r>
    </w:p>
    <w:p w14:paraId="154A7CE7" w14:textId="77777777" w:rsidR="00610266" w:rsidRPr="003836A1" w:rsidRDefault="00610266" w:rsidP="003836A1">
      <w:pPr>
        <w:widowControl/>
        <w:pBdr>
          <w:top w:val="nil"/>
          <w:left w:val="nil"/>
          <w:bottom w:val="nil"/>
          <w:right w:val="nil"/>
          <w:between w:val="nil"/>
        </w:pBdr>
        <w:ind w:left="426" w:hanging="11"/>
        <w:jc w:val="both"/>
        <w:rPr>
          <w:rFonts w:ascii="Arial" w:eastAsia="Arial" w:hAnsi="Arial" w:cs="Arial"/>
          <w:i/>
        </w:rPr>
      </w:pPr>
    </w:p>
    <w:p w14:paraId="154A7CE8" w14:textId="77777777" w:rsidR="00610266" w:rsidRPr="003836A1" w:rsidRDefault="00F95AB8" w:rsidP="003836A1">
      <w:pPr>
        <w:widowControl/>
        <w:pBdr>
          <w:top w:val="nil"/>
          <w:left w:val="nil"/>
          <w:bottom w:val="nil"/>
          <w:right w:val="nil"/>
          <w:between w:val="nil"/>
        </w:pBdr>
        <w:ind w:left="426" w:hanging="11"/>
        <w:jc w:val="both"/>
        <w:rPr>
          <w:rFonts w:ascii="Arial" w:eastAsia="Arial" w:hAnsi="Arial" w:cs="Arial"/>
          <w:i/>
        </w:rPr>
      </w:pPr>
      <w:r w:rsidRPr="003836A1">
        <w:rPr>
          <w:rFonts w:ascii="Arial" w:eastAsia="Arial" w:hAnsi="Arial" w:cs="Arial"/>
          <w:i/>
        </w:rPr>
        <w:t>La prestación de estas acciones se contratará prioritariamente con las instituciones prestadoras de servicios de salud públicas vinculadas a la entidad territorial, de acuerdo con su capacidad técnica y operativa.</w:t>
      </w:r>
    </w:p>
    <w:p w14:paraId="154A7CE9" w14:textId="77777777" w:rsidR="00610266" w:rsidRPr="003836A1" w:rsidRDefault="00610266" w:rsidP="003836A1">
      <w:pPr>
        <w:widowControl/>
        <w:pBdr>
          <w:top w:val="nil"/>
          <w:left w:val="nil"/>
          <w:bottom w:val="nil"/>
          <w:right w:val="nil"/>
          <w:between w:val="nil"/>
        </w:pBdr>
        <w:ind w:left="426" w:hanging="11"/>
        <w:jc w:val="both"/>
        <w:rPr>
          <w:rFonts w:ascii="Arial" w:eastAsia="Arial" w:hAnsi="Arial" w:cs="Arial"/>
          <w:i/>
        </w:rPr>
      </w:pPr>
    </w:p>
    <w:p w14:paraId="154A7CEA" w14:textId="77777777" w:rsidR="00610266" w:rsidRPr="003836A1" w:rsidRDefault="00F95AB8" w:rsidP="003836A1">
      <w:pPr>
        <w:widowControl/>
        <w:pBdr>
          <w:top w:val="nil"/>
          <w:left w:val="nil"/>
          <w:bottom w:val="nil"/>
          <w:right w:val="nil"/>
          <w:between w:val="nil"/>
        </w:pBdr>
        <w:ind w:left="426" w:hanging="11"/>
        <w:jc w:val="both"/>
        <w:rPr>
          <w:rFonts w:ascii="Arial" w:eastAsia="Arial" w:hAnsi="Arial" w:cs="Arial"/>
          <w:i/>
        </w:rPr>
      </w:pPr>
      <w:r w:rsidRPr="003836A1">
        <w:rPr>
          <w:rFonts w:ascii="Arial" w:eastAsia="Arial" w:hAnsi="Arial" w:cs="Arial"/>
          <w:i/>
        </w:rPr>
        <w:t>El ministerio de salud evaluará la ejecución de las disposiciones de este artículo tres años después de su vigencia y en ese plazo presentará un informe al congreso y propondrá las modificaciones que se consideren necesarias.</w:t>
      </w:r>
    </w:p>
    <w:p w14:paraId="154A7CEB" w14:textId="77777777" w:rsidR="00610266" w:rsidRPr="003836A1" w:rsidRDefault="00610266" w:rsidP="003836A1">
      <w:pPr>
        <w:widowControl/>
        <w:pBdr>
          <w:top w:val="nil"/>
          <w:left w:val="nil"/>
          <w:bottom w:val="nil"/>
          <w:right w:val="nil"/>
          <w:between w:val="nil"/>
        </w:pBdr>
        <w:ind w:left="426" w:hanging="11"/>
        <w:jc w:val="both"/>
        <w:rPr>
          <w:rFonts w:ascii="Arial" w:eastAsia="Arial" w:hAnsi="Arial" w:cs="Arial"/>
          <w:i/>
        </w:rPr>
      </w:pPr>
    </w:p>
    <w:p w14:paraId="154A7CEC" w14:textId="77777777" w:rsidR="00610266" w:rsidRPr="003836A1" w:rsidRDefault="00F95AB8" w:rsidP="003836A1">
      <w:pPr>
        <w:widowControl/>
        <w:numPr>
          <w:ilvl w:val="0"/>
          <w:numId w:val="2"/>
        </w:numPr>
        <w:pBdr>
          <w:top w:val="nil"/>
          <w:left w:val="nil"/>
          <w:bottom w:val="nil"/>
          <w:right w:val="nil"/>
          <w:between w:val="nil"/>
        </w:pBdr>
        <w:ind w:left="142" w:firstLine="0"/>
        <w:jc w:val="both"/>
        <w:rPr>
          <w:rFonts w:ascii="Arial" w:eastAsia="Arial" w:hAnsi="Arial" w:cs="Arial"/>
          <w:i/>
        </w:rPr>
      </w:pPr>
      <w:r w:rsidRPr="003836A1">
        <w:rPr>
          <w:rFonts w:ascii="Arial" w:eastAsia="Arial" w:hAnsi="Arial" w:cs="Arial"/>
          <w:b/>
        </w:rPr>
        <w:t>Ley 1176 de 2007. “</w:t>
      </w:r>
      <w:r w:rsidRPr="003836A1">
        <w:rPr>
          <w:rFonts w:ascii="Arial" w:eastAsia="Arial" w:hAnsi="Arial" w:cs="Arial"/>
          <w:i/>
        </w:rPr>
        <w:t>Por la cual se desarrollan los artículos </w:t>
      </w:r>
      <w:hyperlink r:id="rId14" w:anchor="356">
        <w:r w:rsidRPr="003836A1">
          <w:rPr>
            <w:rFonts w:ascii="Arial" w:eastAsia="Arial" w:hAnsi="Arial" w:cs="Arial"/>
            <w:i/>
          </w:rPr>
          <w:t>356</w:t>
        </w:r>
      </w:hyperlink>
      <w:r w:rsidRPr="003836A1">
        <w:rPr>
          <w:rFonts w:ascii="Arial" w:eastAsia="Arial" w:hAnsi="Arial" w:cs="Arial"/>
          <w:i/>
        </w:rPr>
        <w:t> y </w:t>
      </w:r>
      <w:hyperlink r:id="rId15" w:anchor="357">
        <w:r w:rsidRPr="003836A1">
          <w:rPr>
            <w:rFonts w:ascii="Arial" w:eastAsia="Arial" w:hAnsi="Arial" w:cs="Arial"/>
            <w:i/>
          </w:rPr>
          <w:t>357</w:t>
        </w:r>
      </w:hyperlink>
      <w:r w:rsidRPr="003836A1">
        <w:rPr>
          <w:rFonts w:ascii="Arial" w:eastAsia="Arial" w:hAnsi="Arial" w:cs="Arial"/>
          <w:i/>
        </w:rPr>
        <w:t> de la Constitución Política y se dictan otras disposiciones.”</w:t>
      </w:r>
    </w:p>
    <w:p w14:paraId="154A7CED" w14:textId="77777777" w:rsidR="00610266" w:rsidRPr="003836A1" w:rsidRDefault="00F95AB8" w:rsidP="003836A1">
      <w:pPr>
        <w:widowControl/>
        <w:pBdr>
          <w:top w:val="nil"/>
          <w:left w:val="nil"/>
          <w:bottom w:val="nil"/>
          <w:right w:val="nil"/>
          <w:between w:val="nil"/>
        </w:pBdr>
        <w:ind w:left="426"/>
        <w:jc w:val="both"/>
        <w:rPr>
          <w:rFonts w:ascii="Arial" w:eastAsia="Arial" w:hAnsi="Arial" w:cs="Arial"/>
          <w:i/>
        </w:rPr>
      </w:pPr>
      <w:bookmarkStart w:id="8" w:name="bookmark=id.3dy6vkm" w:colFirst="0" w:colLast="0"/>
      <w:bookmarkEnd w:id="8"/>
      <w:r w:rsidRPr="003836A1">
        <w:rPr>
          <w:rFonts w:ascii="Arial" w:eastAsia="Arial" w:hAnsi="Arial" w:cs="Arial"/>
          <w:b/>
          <w:i/>
        </w:rPr>
        <w:t>Artículo 25</w:t>
      </w:r>
      <w:r w:rsidRPr="003836A1">
        <w:rPr>
          <w:rFonts w:ascii="Arial" w:eastAsia="Arial" w:hAnsi="Arial" w:cs="Arial"/>
          <w:i/>
        </w:rPr>
        <w:t>. Prestación de servicios de salud. Modifíquese el artículo </w:t>
      </w:r>
      <w:hyperlink r:id="rId16" w:anchor="45">
        <w:r w:rsidRPr="003836A1">
          <w:rPr>
            <w:rFonts w:ascii="Arial" w:eastAsia="Arial" w:hAnsi="Arial" w:cs="Arial"/>
            <w:i/>
          </w:rPr>
          <w:t>45</w:t>
        </w:r>
      </w:hyperlink>
      <w:r w:rsidRPr="003836A1">
        <w:rPr>
          <w:rFonts w:ascii="Arial" w:eastAsia="Arial" w:hAnsi="Arial" w:cs="Arial"/>
          <w:i/>
        </w:rPr>
        <w:t> de la Ley 715 de 2001 en los siguientes términos:</w:t>
      </w:r>
    </w:p>
    <w:p w14:paraId="154A7CEE" w14:textId="77777777" w:rsidR="00610266" w:rsidRPr="003836A1" w:rsidRDefault="00610266" w:rsidP="003836A1">
      <w:pPr>
        <w:widowControl/>
        <w:pBdr>
          <w:top w:val="nil"/>
          <w:left w:val="nil"/>
          <w:bottom w:val="nil"/>
          <w:right w:val="nil"/>
          <w:between w:val="nil"/>
        </w:pBdr>
        <w:ind w:left="426"/>
        <w:jc w:val="both"/>
        <w:rPr>
          <w:rFonts w:ascii="Arial" w:eastAsia="Arial" w:hAnsi="Arial" w:cs="Arial"/>
          <w:i/>
        </w:rPr>
      </w:pPr>
    </w:p>
    <w:p w14:paraId="154A7CEF" w14:textId="77777777" w:rsidR="00610266" w:rsidRPr="003836A1" w:rsidRDefault="00F95AB8" w:rsidP="003836A1">
      <w:pPr>
        <w:widowControl/>
        <w:pBdr>
          <w:top w:val="nil"/>
          <w:left w:val="nil"/>
          <w:bottom w:val="nil"/>
          <w:right w:val="nil"/>
          <w:between w:val="nil"/>
        </w:pBdr>
        <w:ind w:left="426" w:hanging="11"/>
        <w:jc w:val="both"/>
        <w:rPr>
          <w:rFonts w:ascii="Arial" w:eastAsia="Arial" w:hAnsi="Arial" w:cs="Arial"/>
          <w:i/>
        </w:rPr>
      </w:pPr>
      <w:r w:rsidRPr="003836A1">
        <w:rPr>
          <w:rFonts w:ascii="Arial" w:eastAsia="Arial" w:hAnsi="Arial" w:cs="Arial"/>
          <w:i/>
        </w:rPr>
        <w:t>“Parágrafo. Los distritos y municipios que no hayan asumido la prestación de los servicios de salud, podrán hacerlo si cumplen con la reglamentación que para el efecto expida el Gobierno, y tendrán el plazo definido por este”.</w:t>
      </w:r>
    </w:p>
    <w:p w14:paraId="154A7CF0" w14:textId="77777777" w:rsidR="00610266" w:rsidRPr="003836A1" w:rsidRDefault="00610266" w:rsidP="003836A1">
      <w:pPr>
        <w:widowControl/>
        <w:pBdr>
          <w:top w:val="nil"/>
          <w:left w:val="nil"/>
          <w:bottom w:val="nil"/>
          <w:right w:val="nil"/>
          <w:between w:val="nil"/>
        </w:pBdr>
        <w:ind w:left="426" w:hanging="11"/>
        <w:jc w:val="both"/>
        <w:rPr>
          <w:rFonts w:ascii="Arial" w:eastAsia="Arial" w:hAnsi="Arial" w:cs="Arial"/>
          <w:i/>
        </w:rPr>
      </w:pPr>
    </w:p>
    <w:p w14:paraId="154A7CF1" w14:textId="77777777" w:rsidR="00610266" w:rsidRPr="003836A1" w:rsidRDefault="00F95AB8" w:rsidP="003836A1">
      <w:pPr>
        <w:widowControl/>
        <w:numPr>
          <w:ilvl w:val="0"/>
          <w:numId w:val="2"/>
        </w:numPr>
        <w:pBdr>
          <w:top w:val="nil"/>
          <w:left w:val="nil"/>
          <w:bottom w:val="nil"/>
          <w:right w:val="nil"/>
          <w:between w:val="nil"/>
        </w:pBdr>
        <w:ind w:left="142" w:firstLine="0"/>
        <w:jc w:val="both"/>
        <w:rPr>
          <w:rFonts w:ascii="Arial" w:eastAsia="Arial" w:hAnsi="Arial" w:cs="Arial"/>
          <w:i/>
        </w:rPr>
      </w:pPr>
      <w:r w:rsidRPr="003836A1">
        <w:rPr>
          <w:rFonts w:ascii="Arial" w:eastAsia="Arial" w:hAnsi="Arial" w:cs="Arial"/>
          <w:b/>
        </w:rPr>
        <w:t>Ley 1335 de 2009.</w:t>
      </w:r>
      <w:r w:rsidRPr="003836A1">
        <w:rPr>
          <w:rFonts w:ascii="Arial" w:eastAsia="Arial" w:hAnsi="Arial" w:cs="Arial"/>
        </w:rPr>
        <w:t xml:space="preserve">  </w:t>
      </w:r>
      <w:r w:rsidRPr="003836A1">
        <w:rPr>
          <w:rFonts w:ascii="Arial" w:eastAsia="Arial" w:hAnsi="Arial" w:cs="Arial"/>
          <w:i/>
        </w:rPr>
        <w:t xml:space="preserve">“Disposiciones por medio de las cuales se previenen daños a la salud de los menores de edad, la población fumadora y se estipulan políticas públicas para la prevención del consumo del tabaco y el abandono de la dependencia del tabaco del fumador y sus derivados en la población colombiana” </w:t>
      </w:r>
    </w:p>
    <w:p w14:paraId="154A7CF2" w14:textId="77777777" w:rsidR="00610266" w:rsidRPr="003836A1" w:rsidRDefault="00610266" w:rsidP="003836A1">
      <w:pPr>
        <w:jc w:val="both"/>
        <w:rPr>
          <w:rFonts w:ascii="Arial" w:eastAsia="Arial" w:hAnsi="Arial" w:cs="Arial"/>
          <w:i/>
        </w:rPr>
      </w:pPr>
    </w:p>
    <w:p w14:paraId="154A7CF3" w14:textId="77777777" w:rsidR="00610266" w:rsidRPr="003836A1" w:rsidRDefault="00F95AB8" w:rsidP="003836A1">
      <w:pPr>
        <w:pBdr>
          <w:top w:val="nil"/>
          <w:left w:val="nil"/>
          <w:bottom w:val="nil"/>
          <w:right w:val="nil"/>
          <w:between w:val="nil"/>
        </w:pBdr>
        <w:ind w:left="426"/>
        <w:jc w:val="both"/>
        <w:rPr>
          <w:rFonts w:ascii="Arial" w:eastAsia="Arial" w:hAnsi="Arial" w:cs="Arial"/>
          <w:i/>
        </w:rPr>
      </w:pPr>
      <w:r w:rsidRPr="003836A1">
        <w:rPr>
          <w:rFonts w:ascii="Arial" w:eastAsia="Arial" w:hAnsi="Arial" w:cs="Arial"/>
          <w:b/>
          <w:i/>
        </w:rPr>
        <w:t>Artículo 1. Objeto.</w:t>
      </w:r>
      <w:r w:rsidRPr="003836A1">
        <w:rPr>
          <w:rFonts w:ascii="Arial" w:eastAsia="Arial" w:hAnsi="Arial" w:cs="Arial"/>
          <w:i/>
        </w:rPr>
        <w:t xml:space="preserve"> El objeto de la presente ley es contribuir a garantizar los derechos a la salud de los habitantes del territorio nacional, especialmente la de los menores de 18 años de edad y la población no fumadora, regulando el consumo, venta, publicidad y promoción de los cigarrillos, tabaco y sus derivados, así como la creación de programas de salud y educación tendientes a contribuir a la disminución de su consumo, abandono de la dependencia del tabaco del fumador y se establecen las sanciones correspondientes a quienes contravengan las disposiciones de esta ley.</w:t>
      </w:r>
      <w:bookmarkStart w:id="9" w:name="bookmark=id.1t3h5sf" w:colFirst="0" w:colLast="0"/>
      <w:bookmarkEnd w:id="9"/>
    </w:p>
    <w:p w14:paraId="154A7CF4" w14:textId="77777777" w:rsidR="00610266" w:rsidRPr="003836A1" w:rsidRDefault="00610266" w:rsidP="003836A1">
      <w:pPr>
        <w:pBdr>
          <w:top w:val="nil"/>
          <w:left w:val="nil"/>
          <w:bottom w:val="nil"/>
          <w:right w:val="nil"/>
          <w:between w:val="nil"/>
        </w:pBdr>
        <w:ind w:left="426"/>
        <w:jc w:val="both"/>
        <w:rPr>
          <w:rFonts w:ascii="Arial" w:eastAsia="Arial" w:hAnsi="Arial" w:cs="Arial"/>
          <w:i/>
        </w:rPr>
      </w:pPr>
    </w:p>
    <w:p w14:paraId="154A7CF5" w14:textId="77777777" w:rsidR="00610266" w:rsidRPr="003836A1" w:rsidRDefault="00F95AB8" w:rsidP="003836A1">
      <w:pPr>
        <w:pBdr>
          <w:top w:val="nil"/>
          <w:left w:val="nil"/>
          <w:bottom w:val="nil"/>
          <w:right w:val="nil"/>
          <w:between w:val="nil"/>
        </w:pBdr>
        <w:ind w:left="426"/>
        <w:jc w:val="both"/>
        <w:rPr>
          <w:rFonts w:ascii="Arial" w:eastAsia="Arial" w:hAnsi="Arial" w:cs="Arial"/>
          <w:i/>
        </w:rPr>
      </w:pPr>
      <w:r w:rsidRPr="003836A1">
        <w:rPr>
          <w:rFonts w:ascii="Arial" w:eastAsia="Arial" w:hAnsi="Arial" w:cs="Arial"/>
          <w:b/>
          <w:i/>
        </w:rPr>
        <w:t>Artículo 5</w:t>
      </w:r>
      <w:r w:rsidRPr="003836A1">
        <w:rPr>
          <w:rFonts w:ascii="Arial" w:eastAsia="Arial" w:hAnsi="Arial" w:cs="Arial"/>
          <w:i/>
        </w:rPr>
        <w:t xml:space="preserve">. </w:t>
      </w:r>
      <w:r w:rsidRPr="003836A1">
        <w:rPr>
          <w:rFonts w:ascii="Arial" w:eastAsia="Arial" w:hAnsi="Arial" w:cs="Arial"/>
          <w:b/>
          <w:i/>
        </w:rPr>
        <w:t>Políticas de salud pública antitabaquismo.</w:t>
      </w:r>
      <w:r w:rsidRPr="003836A1">
        <w:rPr>
          <w:rFonts w:ascii="Arial" w:eastAsia="Arial" w:hAnsi="Arial" w:cs="Arial"/>
          <w:i/>
        </w:rPr>
        <w:t> Los ministerios de la protección social y de educación nacional formularán, aplicarán, actualizarán periódicamente y revisarán estrategias, planes y programas nacionales multisectoriales integrales de control del tabaquismo en los menores de edad y a la población en general, fumadora o no fumadora, correspondientes a la política de salud pública que se haya estipulado e implementarán estrategias para propender por el abandono del consumo de tabaco.</w:t>
      </w:r>
    </w:p>
    <w:p w14:paraId="154A7CF6"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El ministerio de la protección social diseñará e incorporará dentro del plan nacional de salud pública, las estrategias y acciones para identificar y promover la atención y demanda de servicios de rehabilitación, cesación y curación de la población fumadora enferma por causas asociadas al tabaquismo.</w:t>
      </w:r>
    </w:p>
    <w:p w14:paraId="154A7CF7" w14:textId="77777777" w:rsidR="00610266" w:rsidRPr="003836A1" w:rsidRDefault="00F95AB8" w:rsidP="003836A1">
      <w:pPr>
        <w:ind w:left="426"/>
        <w:jc w:val="both"/>
        <w:rPr>
          <w:rFonts w:ascii="Arial" w:eastAsia="Arial" w:hAnsi="Arial" w:cs="Arial"/>
          <w:i/>
        </w:rPr>
      </w:pPr>
      <w:bookmarkStart w:id="10" w:name="bookmark=id.4d34og8" w:colFirst="0" w:colLast="0"/>
      <w:bookmarkEnd w:id="10"/>
      <w:r w:rsidRPr="003836A1">
        <w:rPr>
          <w:rFonts w:ascii="Arial" w:eastAsia="Arial" w:hAnsi="Arial" w:cs="Arial"/>
          <w:b/>
          <w:i/>
        </w:rPr>
        <w:t>Artículo 8. Programas educativos para evitar el consumo de tabaco y procurar el abandono del tabaquismo</w:t>
      </w:r>
      <w:r w:rsidRPr="003836A1">
        <w:rPr>
          <w:rFonts w:ascii="Arial" w:eastAsia="Arial" w:hAnsi="Arial" w:cs="Arial"/>
          <w:i/>
        </w:rPr>
        <w:t>. Los menores de edad deberán recibir los conocimientos y asistencia institucional educativa bajo los principios de salud pública sobre los efectos nocivos del tabaquismo, la incidencia de enfermedades, la discapacidad prematura y la mortalidad debidas al consumo de tabaco y a la exposición del humo de tabaco, tanto de los fumadores activos como pasivos. Para esto el ministerio de educación fijará en los programas de educación preescolar, primaria, secundaria, media vocacional, universitaria, de educación no formal, educación para docentes y demás programas educativos, los planes curriculares y actividades educativas para la prevención y control del tabaquismo.</w:t>
      </w:r>
    </w:p>
    <w:p w14:paraId="154A7CF8" w14:textId="77777777" w:rsidR="00610266" w:rsidRPr="003836A1" w:rsidRDefault="00610266" w:rsidP="003836A1">
      <w:pPr>
        <w:rPr>
          <w:rFonts w:ascii="Arial" w:eastAsia="Arial" w:hAnsi="Arial" w:cs="Arial"/>
          <w:b/>
          <w:i/>
        </w:rPr>
      </w:pPr>
      <w:bookmarkStart w:id="11" w:name="bookmark=id.2s8eyo1" w:colFirst="0" w:colLast="0"/>
      <w:bookmarkEnd w:id="11"/>
    </w:p>
    <w:p w14:paraId="154A7CF9" w14:textId="77777777" w:rsidR="00610266" w:rsidRPr="003836A1" w:rsidRDefault="00F95AB8" w:rsidP="003836A1">
      <w:pPr>
        <w:pBdr>
          <w:top w:val="nil"/>
          <w:left w:val="nil"/>
          <w:bottom w:val="nil"/>
          <w:right w:val="nil"/>
          <w:between w:val="nil"/>
        </w:pBdr>
        <w:ind w:left="426"/>
        <w:jc w:val="both"/>
        <w:rPr>
          <w:rFonts w:ascii="Arial" w:eastAsia="Arial" w:hAnsi="Arial" w:cs="Arial"/>
          <w:i/>
        </w:rPr>
      </w:pPr>
      <w:r w:rsidRPr="003836A1">
        <w:rPr>
          <w:rFonts w:ascii="Arial" w:eastAsia="Arial" w:hAnsi="Arial" w:cs="Arial"/>
          <w:b/>
          <w:i/>
        </w:rPr>
        <w:t>Artículo 10.</w:t>
      </w:r>
      <w:r w:rsidRPr="003836A1">
        <w:rPr>
          <w:rFonts w:ascii="Arial" w:eastAsia="Arial" w:hAnsi="Arial" w:cs="Arial"/>
          <w:i/>
        </w:rPr>
        <w:t xml:space="preserve"> </w:t>
      </w:r>
      <w:r w:rsidRPr="003836A1">
        <w:rPr>
          <w:rFonts w:ascii="Arial" w:eastAsia="Arial" w:hAnsi="Arial" w:cs="Arial"/>
          <w:b/>
          <w:i/>
        </w:rPr>
        <w:t>Obligación de las entidades territoriales</w:t>
      </w:r>
      <w:r w:rsidRPr="003836A1">
        <w:rPr>
          <w:rFonts w:ascii="Arial" w:eastAsia="Arial" w:hAnsi="Arial" w:cs="Arial"/>
          <w:i/>
        </w:rPr>
        <w:t>. Corresponde a los Gobernadores y Alcaldes y a las Secretarías Departamentales, Distritales y Municipales de Salud lo siguiente:</w:t>
      </w:r>
    </w:p>
    <w:p w14:paraId="154A7CFA" w14:textId="77777777" w:rsidR="00610266" w:rsidRPr="003836A1" w:rsidRDefault="00610266" w:rsidP="003836A1">
      <w:pPr>
        <w:pBdr>
          <w:top w:val="nil"/>
          <w:left w:val="nil"/>
          <w:bottom w:val="nil"/>
          <w:right w:val="nil"/>
          <w:between w:val="nil"/>
        </w:pBdr>
        <w:ind w:left="426"/>
        <w:jc w:val="both"/>
        <w:rPr>
          <w:rFonts w:ascii="Arial" w:eastAsia="Arial" w:hAnsi="Arial" w:cs="Arial"/>
          <w:i/>
        </w:rPr>
      </w:pPr>
    </w:p>
    <w:p w14:paraId="154A7CFB" w14:textId="77777777" w:rsidR="00610266" w:rsidRPr="003836A1" w:rsidRDefault="00F95AB8" w:rsidP="003836A1">
      <w:pPr>
        <w:widowControl/>
        <w:numPr>
          <w:ilvl w:val="0"/>
          <w:numId w:val="6"/>
        </w:numPr>
        <w:pBdr>
          <w:top w:val="nil"/>
          <w:left w:val="nil"/>
          <w:bottom w:val="nil"/>
          <w:right w:val="nil"/>
          <w:between w:val="nil"/>
        </w:pBdr>
        <w:ind w:left="426" w:firstLine="0"/>
        <w:jc w:val="both"/>
        <w:rPr>
          <w:rFonts w:ascii="Arial" w:eastAsia="Arial" w:hAnsi="Arial" w:cs="Arial"/>
          <w:i/>
        </w:rPr>
      </w:pPr>
      <w:r w:rsidRPr="003836A1">
        <w:rPr>
          <w:rFonts w:ascii="Arial" w:eastAsia="Arial" w:hAnsi="Arial" w:cs="Arial"/>
          <w:i/>
        </w:rPr>
        <w:t>Difundir, en el ámbito de su jurisdicción, las medidas establecidas en la presente ley;</w:t>
      </w:r>
    </w:p>
    <w:p w14:paraId="154A7CFC" w14:textId="77777777" w:rsidR="00610266" w:rsidRPr="003836A1" w:rsidRDefault="00610266" w:rsidP="003836A1">
      <w:pPr>
        <w:pBdr>
          <w:top w:val="nil"/>
          <w:left w:val="nil"/>
          <w:bottom w:val="nil"/>
          <w:right w:val="nil"/>
          <w:between w:val="nil"/>
        </w:pBdr>
        <w:ind w:left="426"/>
        <w:jc w:val="both"/>
        <w:rPr>
          <w:rFonts w:ascii="Arial" w:eastAsia="Arial" w:hAnsi="Arial" w:cs="Arial"/>
          <w:i/>
        </w:rPr>
      </w:pPr>
    </w:p>
    <w:p w14:paraId="154A7CFD" w14:textId="77777777" w:rsidR="00610266" w:rsidRPr="003836A1" w:rsidRDefault="00F95AB8" w:rsidP="003836A1">
      <w:pPr>
        <w:widowControl/>
        <w:numPr>
          <w:ilvl w:val="0"/>
          <w:numId w:val="6"/>
        </w:numPr>
        <w:pBdr>
          <w:top w:val="nil"/>
          <w:left w:val="nil"/>
          <w:bottom w:val="nil"/>
          <w:right w:val="nil"/>
          <w:between w:val="nil"/>
        </w:pBdr>
        <w:ind w:left="426" w:firstLine="0"/>
        <w:jc w:val="both"/>
        <w:rPr>
          <w:rFonts w:ascii="Arial" w:eastAsia="Arial" w:hAnsi="Arial" w:cs="Arial"/>
          <w:i/>
        </w:rPr>
      </w:pPr>
      <w:r w:rsidRPr="003836A1">
        <w:rPr>
          <w:rFonts w:ascii="Arial" w:eastAsia="Arial" w:hAnsi="Arial" w:cs="Arial"/>
          <w:i/>
        </w:rPr>
        <w:t>Realizar actividades de movilización y concertación social para garantizar el cumplimiento de la presente ley;</w:t>
      </w:r>
    </w:p>
    <w:p w14:paraId="154A7CFE" w14:textId="77777777" w:rsidR="00610266" w:rsidRPr="003836A1" w:rsidRDefault="00610266" w:rsidP="003836A1">
      <w:pPr>
        <w:ind w:left="426"/>
        <w:jc w:val="both"/>
        <w:rPr>
          <w:rFonts w:ascii="Arial" w:eastAsia="Arial" w:hAnsi="Arial" w:cs="Arial"/>
          <w:i/>
        </w:rPr>
      </w:pPr>
    </w:p>
    <w:p w14:paraId="154A7CFF" w14:textId="77777777" w:rsidR="00610266" w:rsidRPr="003836A1" w:rsidRDefault="00F95AB8" w:rsidP="003836A1">
      <w:pPr>
        <w:widowControl/>
        <w:numPr>
          <w:ilvl w:val="0"/>
          <w:numId w:val="6"/>
        </w:numPr>
        <w:pBdr>
          <w:top w:val="nil"/>
          <w:left w:val="nil"/>
          <w:bottom w:val="nil"/>
          <w:right w:val="nil"/>
          <w:between w:val="nil"/>
        </w:pBdr>
        <w:ind w:left="426" w:firstLine="0"/>
        <w:jc w:val="both"/>
        <w:rPr>
          <w:rFonts w:ascii="Arial" w:eastAsia="Arial" w:hAnsi="Arial" w:cs="Arial"/>
          <w:i/>
          <w:u w:val="single"/>
        </w:rPr>
      </w:pPr>
      <w:r w:rsidRPr="003836A1">
        <w:rPr>
          <w:rFonts w:ascii="Arial" w:eastAsia="Arial" w:hAnsi="Arial" w:cs="Arial"/>
          <w:i/>
        </w:rPr>
        <w:t xml:space="preserve">Desarrollar campañas de promoción de entornos ciento por ciento (100%) libres de humo y de desestimulo del consumo de productos de tabaco; </w:t>
      </w:r>
    </w:p>
    <w:p w14:paraId="154A7D00" w14:textId="77777777" w:rsidR="00610266" w:rsidRPr="003836A1" w:rsidRDefault="00610266" w:rsidP="003836A1">
      <w:pPr>
        <w:widowControl/>
        <w:pBdr>
          <w:top w:val="nil"/>
          <w:left w:val="nil"/>
          <w:bottom w:val="nil"/>
          <w:right w:val="nil"/>
          <w:between w:val="nil"/>
        </w:pBdr>
        <w:ind w:left="426"/>
        <w:jc w:val="both"/>
        <w:rPr>
          <w:rFonts w:ascii="Arial" w:eastAsia="Arial" w:hAnsi="Arial" w:cs="Arial"/>
          <w:b/>
          <w:i/>
          <w:u w:val="single"/>
        </w:rPr>
      </w:pPr>
    </w:p>
    <w:p w14:paraId="154A7D01" w14:textId="77777777" w:rsidR="00610266" w:rsidRPr="003836A1" w:rsidRDefault="00F95AB8" w:rsidP="003836A1">
      <w:pPr>
        <w:widowControl/>
        <w:numPr>
          <w:ilvl w:val="0"/>
          <w:numId w:val="6"/>
        </w:numPr>
        <w:pBdr>
          <w:top w:val="nil"/>
          <w:left w:val="nil"/>
          <w:bottom w:val="nil"/>
          <w:right w:val="nil"/>
          <w:between w:val="nil"/>
        </w:pBdr>
        <w:ind w:left="426" w:firstLine="0"/>
        <w:jc w:val="both"/>
        <w:rPr>
          <w:rFonts w:ascii="Arial" w:eastAsia="Arial" w:hAnsi="Arial" w:cs="Arial"/>
          <w:i/>
        </w:rPr>
      </w:pPr>
      <w:r w:rsidRPr="003836A1">
        <w:rPr>
          <w:rFonts w:ascii="Arial" w:eastAsia="Arial" w:hAnsi="Arial" w:cs="Arial"/>
          <w:i/>
        </w:rPr>
        <w:t>Desarrollar, dentro de la red de Instituciones Prestadoras de Salud, campañas de educación sobre los efectos nocivos del consumo de tabaco y sobre las estrategias para desestimular o cesar su consumo.</w:t>
      </w:r>
    </w:p>
    <w:p w14:paraId="154A7D02" w14:textId="77777777" w:rsidR="00610266" w:rsidRPr="003836A1" w:rsidRDefault="00610266" w:rsidP="003836A1">
      <w:pPr>
        <w:jc w:val="both"/>
        <w:rPr>
          <w:rFonts w:ascii="Arial" w:eastAsia="Arial" w:hAnsi="Arial" w:cs="Arial"/>
          <w:i/>
        </w:rPr>
      </w:pPr>
    </w:p>
    <w:p w14:paraId="154A7D03" w14:textId="77777777" w:rsidR="00610266" w:rsidRPr="003836A1" w:rsidRDefault="00F95AB8" w:rsidP="003836A1">
      <w:pPr>
        <w:pBdr>
          <w:top w:val="nil"/>
          <w:left w:val="nil"/>
          <w:bottom w:val="nil"/>
          <w:right w:val="nil"/>
          <w:between w:val="nil"/>
        </w:pBdr>
        <w:ind w:left="426"/>
        <w:jc w:val="both"/>
        <w:rPr>
          <w:rFonts w:ascii="Arial" w:eastAsia="Arial" w:hAnsi="Arial" w:cs="Arial"/>
          <w:i/>
        </w:rPr>
      </w:pPr>
      <w:r w:rsidRPr="003836A1">
        <w:rPr>
          <w:rFonts w:ascii="Arial" w:eastAsia="Arial" w:hAnsi="Arial" w:cs="Arial"/>
          <w:i/>
        </w:rPr>
        <w:t>Parágrafo. Todas las entidades públicas deberán difundir esta ley tanto en las páginas electrónicas que tengan habilitadas como en otros medios de difusión con que cuenten. (negrilla y subrayado por fuera de texto)</w:t>
      </w:r>
    </w:p>
    <w:p w14:paraId="154A7D04" w14:textId="77777777" w:rsidR="00610266" w:rsidRPr="003836A1" w:rsidRDefault="00610266" w:rsidP="003836A1">
      <w:pPr>
        <w:pBdr>
          <w:top w:val="nil"/>
          <w:left w:val="nil"/>
          <w:bottom w:val="nil"/>
          <w:right w:val="nil"/>
          <w:between w:val="nil"/>
        </w:pBdr>
        <w:ind w:left="426"/>
        <w:jc w:val="both"/>
        <w:rPr>
          <w:rFonts w:ascii="Arial" w:eastAsia="Arial" w:hAnsi="Arial" w:cs="Arial"/>
          <w:i/>
        </w:rPr>
      </w:pPr>
    </w:p>
    <w:p w14:paraId="154A7D05" w14:textId="77777777" w:rsidR="00610266" w:rsidRPr="003836A1" w:rsidRDefault="00F95AB8" w:rsidP="003836A1">
      <w:pPr>
        <w:pBdr>
          <w:top w:val="nil"/>
          <w:left w:val="nil"/>
          <w:bottom w:val="nil"/>
          <w:right w:val="nil"/>
          <w:between w:val="nil"/>
        </w:pBdr>
        <w:ind w:left="426"/>
        <w:jc w:val="both"/>
        <w:rPr>
          <w:rFonts w:ascii="Arial" w:eastAsia="Arial" w:hAnsi="Arial" w:cs="Arial"/>
          <w:i/>
        </w:rPr>
      </w:pPr>
      <w:r w:rsidRPr="003836A1">
        <w:rPr>
          <w:rFonts w:ascii="Arial" w:eastAsia="Arial" w:hAnsi="Arial" w:cs="Arial"/>
          <w:b/>
          <w:i/>
        </w:rPr>
        <w:t>Artículo 19.</w:t>
      </w:r>
      <w:r w:rsidRPr="003836A1">
        <w:rPr>
          <w:rFonts w:ascii="Arial" w:eastAsia="Arial" w:hAnsi="Arial" w:cs="Arial"/>
          <w:i/>
        </w:rPr>
        <w:t xml:space="preserve"> Prohibición al consumo de tabaco y sus derivados. Prohíbase el consumo de Productos de Tabaco, en los lugares señalados en el presente artículo.</w:t>
      </w:r>
    </w:p>
    <w:p w14:paraId="154A7D06" w14:textId="77777777" w:rsidR="00610266" w:rsidRPr="003836A1" w:rsidRDefault="00610266" w:rsidP="003836A1">
      <w:pPr>
        <w:ind w:left="426"/>
        <w:jc w:val="both"/>
        <w:rPr>
          <w:rFonts w:ascii="Arial" w:eastAsia="Arial" w:hAnsi="Arial" w:cs="Arial"/>
          <w:i/>
        </w:rPr>
      </w:pPr>
    </w:p>
    <w:p w14:paraId="154A7D07"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En las áreas cerradas de los lugares de trabajo y/o de los lugares públicos, tales como: Bares, restaurantes, centros comerciales, tiendas, ferias, festivales, parques, estadios, cafeterías, discotecas, cibercafés, hoteles, ferias, pubs, casinos, zonas comunales y áreas de espera, donde se realicen eventos de manera masiva, entre otras.</w:t>
      </w:r>
    </w:p>
    <w:p w14:paraId="154A7D08" w14:textId="77777777" w:rsidR="00610266" w:rsidRPr="003836A1" w:rsidRDefault="00610266" w:rsidP="003836A1">
      <w:pPr>
        <w:ind w:left="426"/>
        <w:jc w:val="both"/>
        <w:rPr>
          <w:rFonts w:ascii="Arial" w:eastAsia="Arial" w:hAnsi="Arial" w:cs="Arial"/>
          <w:i/>
        </w:rPr>
      </w:pPr>
    </w:p>
    <w:p w14:paraId="154A7D09"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a) Las entidades de salud.</w:t>
      </w:r>
    </w:p>
    <w:p w14:paraId="154A7D0A" w14:textId="77777777" w:rsidR="00610266" w:rsidRPr="003836A1" w:rsidRDefault="00610266" w:rsidP="003836A1">
      <w:pPr>
        <w:ind w:left="426"/>
        <w:jc w:val="both"/>
        <w:rPr>
          <w:rFonts w:ascii="Arial" w:eastAsia="Arial" w:hAnsi="Arial" w:cs="Arial"/>
          <w:i/>
        </w:rPr>
      </w:pPr>
    </w:p>
    <w:p w14:paraId="154A7D0B"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b) Las instituciones de educación formal y no formal, en todos sus niveles.</w:t>
      </w:r>
    </w:p>
    <w:p w14:paraId="154A7D0C" w14:textId="77777777" w:rsidR="00610266" w:rsidRPr="003836A1" w:rsidRDefault="00610266" w:rsidP="003836A1">
      <w:pPr>
        <w:ind w:left="426"/>
        <w:jc w:val="both"/>
        <w:rPr>
          <w:rFonts w:ascii="Arial" w:eastAsia="Arial" w:hAnsi="Arial" w:cs="Arial"/>
          <w:i/>
        </w:rPr>
      </w:pPr>
    </w:p>
    <w:p w14:paraId="154A7D0D"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c) Museos y bibliotecas.</w:t>
      </w:r>
    </w:p>
    <w:p w14:paraId="154A7D0E" w14:textId="77777777" w:rsidR="00610266" w:rsidRPr="003836A1" w:rsidRDefault="00610266" w:rsidP="003836A1">
      <w:pPr>
        <w:ind w:left="426"/>
        <w:jc w:val="both"/>
        <w:rPr>
          <w:rFonts w:ascii="Arial" w:eastAsia="Arial" w:hAnsi="Arial" w:cs="Arial"/>
          <w:i/>
        </w:rPr>
      </w:pPr>
    </w:p>
    <w:p w14:paraId="154A7D0F"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d) Los establecimientos donde se atienden a menores de edad.</w:t>
      </w:r>
    </w:p>
    <w:p w14:paraId="154A7D10" w14:textId="77777777" w:rsidR="00610266" w:rsidRPr="003836A1" w:rsidRDefault="00610266" w:rsidP="003836A1">
      <w:pPr>
        <w:ind w:left="426"/>
        <w:jc w:val="both"/>
        <w:rPr>
          <w:rFonts w:ascii="Arial" w:eastAsia="Arial" w:hAnsi="Arial" w:cs="Arial"/>
          <w:i/>
        </w:rPr>
      </w:pPr>
    </w:p>
    <w:p w14:paraId="154A7D11"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e) Los medios de transporte de servicio público, oficial, escolar, mixto y privado.</w:t>
      </w:r>
    </w:p>
    <w:p w14:paraId="154A7D12" w14:textId="77777777" w:rsidR="00610266" w:rsidRPr="003836A1" w:rsidRDefault="00610266" w:rsidP="003836A1">
      <w:pPr>
        <w:ind w:left="426"/>
        <w:jc w:val="both"/>
        <w:rPr>
          <w:rFonts w:ascii="Arial" w:eastAsia="Arial" w:hAnsi="Arial" w:cs="Arial"/>
          <w:i/>
        </w:rPr>
      </w:pPr>
    </w:p>
    <w:p w14:paraId="154A7D13"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f) Entidades públicas y privadas destinadas para cualquier tipo de actividad industrial, comercial o de servicios, incluidas sus áreas de atención al público y salas de espera.</w:t>
      </w:r>
    </w:p>
    <w:p w14:paraId="154A7D14" w14:textId="77777777" w:rsidR="00610266" w:rsidRPr="003836A1" w:rsidRDefault="00610266" w:rsidP="003836A1">
      <w:pPr>
        <w:ind w:left="426"/>
        <w:jc w:val="both"/>
        <w:rPr>
          <w:rFonts w:ascii="Arial" w:eastAsia="Arial" w:hAnsi="Arial" w:cs="Arial"/>
          <w:i/>
        </w:rPr>
      </w:pPr>
    </w:p>
    <w:p w14:paraId="154A7D15"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g) Áreas en donde el consumo de productos de tabaco genere un alto riesgo de combustión por la presencia de materiales inflamables, tal como estaciones de gasolina, sitios de almacenamiento de combustibles o materiales explosivos o similares.</w:t>
      </w:r>
    </w:p>
    <w:p w14:paraId="154A7D16" w14:textId="77777777" w:rsidR="00610266" w:rsidRPr="003836A1" w:rsidRDefault="00610266" w:rsidP="003836A1">
      <w:pPr>
        <w:ind w:left="426"/>
        <w:jc w:val="both"/>
        <w:rPr>
          <w:rFonts w:ascii="Arial" w:eastAsia="Arial" w:hAnsi="Arial" w:cs="Arial"/>
          <w:i/>
        </w:rPr>
      </w:pPr>
    </w:p>
    <w:p w14:paraId="154A7D17"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h) Espacios deportivos y culturales.</w:t>
      </w:r>
    </w:p>
    <w:p w14:paraId="154A7D18" w14:textId="77777777" w:rsidR="00610266" w:rsidRPr="003836A1" w:rsidRDefault="00610266" w:rsidP="003836A1">
      <w:pPr>
        <w:jc w:val="both"/>
        <w:rPr>
          <w:rFonts w:ascii="Arial" w:eastAsia="Arial" w:hAnsi="Arial" w:cs="Arial"/>
        </w:rPr>
      </w:pPr>
    </w:p>
    <w:p w14:paraId="154A7D19" w14:textId="77777777" w:rsidR="00610266" w:rsidRPr="003836A1" w:rsidRDefault="00F95AB8" w:rsidP="003836A1">
      <w:pPr>
        <w:widowControl/>
        <w:numPr>
          <w:ilvl w:val="0"/>
          <w:numId w:val="2"/>
        </w:numPr>
        <w:pBdr>
          <w:top w:val="nil"/>
          <w:left w:val="nil"/>
          <w:bottom w:val="nil"/>
          <w:right w:val="nil"/>
          <w:between w:val="nil"/>
        </w:pBdr>
        <w:ind w:left="142" w:firstLine="0"/>
        <w:jc w:val="both"/>
        <w:rPr>
          <w:rFonts w:ascii="Arial" w:eastAsia="Arial" w:hAnsi="Arial" w:cs="Arial"/>
        </w:rPr>
      </w:pPr>
      <w:r w:rsidRPr="003836A1">
        <w:rPr>
          <w:rFonts w:ascii="Arial" w:eastAsia="Arial" w:hAnsi="Arial" w:cs="Arial"/>
          <w:b/>
        </w:rPr>
        <w:t>Ley 1098 de 2006.</w:t>
      </w:r>
      <w:r w:rsidRPr="003836A1">
        <w:rPr>
          <w:rFonts w:ascii="Arial" w:eastAsia="Arial" w:hAnsi="Arial" w:cs="Arial"/>
        </w:rPr>
        <w:t xml:space="preserve"> </w:t>
      </w:r>
      <w:r w:rsidRPr="003836A1">
        <w:rPr>
          <w:rFonts w:ascii="Arial" w:eastAsia="Arial" w:hAnsi="Arial" w:cs="Arial"/>
          <w:i/>
        </w:rPr>
        <w:t>“Por la cual se expide el Código de la Infancia y la Adolescencia”</w:t>
      </w:r>
    </w:p>
    <w:p w14:paraId="154A7D1A" w14:textId="77777777" w:rsidR="00610266" w:rsidRPr="003836A1" w:rsidRDefault="00610266" w:rsidP="003836A1">
      <w:pPr>
        <w:jc w:val="both"/>
        <w:rPr>
          <w:rFonts w:ascii="Arial" w:eastAsia="Arial" w:hAnsi="Arial" w:cs="Arial"/>
        </w:rPr>
      </w:pPr>
    </w:p>
    <w:p w14:paraId="154A7D1B" w14:textId="77777777" w:rsidR="00610266" w:rsidRPr="003836A1" w:rsidRDefault="00F95AB8" w:rsidP="003836A1">
      <w:pPr>
        <w:pBdr>
          <w:top w:val="nil"/>
          <w:left w:val="nil"/>
          <w:bottom w:val="nil"/>
          <w:right w:val="nil"/>
          <w:between w:val="nil"/>
        </w:pBdr>
        <w:ind w:left="426"/>
        <w:jc w:val="both"/>
        <w:rPr>
          <w:rFonts w:ascii="Arial" w:eastAsia="Arial" w:hAnsi="Arial" w:cs="Arial"/>
          <w:i/>
        </w:rPr>
      </w:pPr>
      <w:r w:rsidRPr="003836A1">
        <w:rPr>
          <w:rFonts w:ascii="Arial" w:eastAsia="Arial" w:hAnsi="Arial" w:cs="Arial"/>
          <w:i/>
        </w:rPr>
        <w:t>Artículo 20, numeral 3 establece que los niños, las niñas y los adolescentes, serán protegidos, entre otras circunstancias, contra: “3. El consumo de tabaco, sustancias psicoactivas, estupefacientes o alcohólicas y la utilización, el reclutamiento o la oferta de menores en actividades de promoción, producción, recolección, tráfico, distribución y comercialización. (…)”.</w:t>
      </w:r>
    </w:p>
    <w:p w14:paraId="154A7D1C" w14:textId="77777777" w:rsidR="00610266" w:rsidRPr="003836A1" w:rsidRDefault="00610266" w:rsidP="003836A1">
      <w:pPr>
        <w:jc w:val="both"/>
        <w:rPr>
          <w:rFonts w:ascii="Arial" w:eastAsia="Arial" w:hAnsi="Arial" w:cs="Arial"/>
        </w:rPr>
      </w:pPr>
    </w:p>
    <w:p w14:paraId="154A7D1D" w14:textId="77777777" w:rsidR="00610266" w:rsidRPr="003836A1" w:rsidRDefault="00F95AB8" w:rsidP="003836A1">
      <w:pPr>
        <w:widowControl/>
        <w:numPr>
          <w:ilvl w:val="0"/>
          <w:numId w:val="2"/>
        </w:numPr>
        <w:pBdr>
          <w:top w:val="nil"/>
          <w:left w:val="nil"/>
          <w:bottom w:val="nil"/>
          <w:right w:val="nil"/>
          <w:between w:val="nil"/>
        </w:pBdr>
        <w:ind w:left="142" w:firstLine="0"/>
        <w:jc w:val="both"/>
        <w:rPr>
          <w:rFonts w:ascii="Arial" w:eastAsia="Arial" w:hAnsi="Arial" w:cs="Arial"/>
          <w:b/>
        </w:rPr>
      </w:pPr>
      <w:r w:rsidRPr="003836A1">
        <w:rPr>
          <w:rFonts w:ascii="Arial" w:eastAsia="Arial" w:hAnsi="Arial" w:cs="Arial"/>
          <w:b/>
        </w:rPr>
        <w:t>Ley 11</w:t>
      </w:r>
      <w:r w:rsidR="00133957" w:rsidRPr="003836A1">
        <w:rPr>
          <w:rFonts w:ascii="Arial" w:eastAsia="Arial" w:hAnsi="Arial" w:cs="Arial"/>
          <w:b/>
        </w:rPr>
        <w:t>09 de 200</w:t>
      </w:r>
      <w:r w:rsidRPr="003836A1">
        <w:rPr>
          <w:rFonts w:ascii="Arial" w:eastAsia="Arial" w:hAnsi="Arial" w:cs="Arial"/>
          <w:b/>
        </w:rPr>
        <w:t>6. “</w:t>
      </w:r>
      <w:r w:rsidRPr="003836A1">
        <w:rPr>
          <w:rFonts w:ascii="Arial" w:eastAsia="Arial" w:hAnsi="Arial" w:cs="Arial"/>
          <w:i/>
        </w:rPr>
        <w:t>Por medio de la cual se aprueba el "Convenio Marco de la OMS para el control del tabaco", hecho en Ginebra, el veintiuno (21) de mayo de dos mil tres (2003)”.</w:t>
      </w:r>
    </w:p>
    <w:p w14:paraId="154A7D1E" w14:textId="77777777" w:rsidR="00610266" w:rsidRPr="003836A1" w:rsidRDefault="00610266" w:rsidP="003836A1">
      <w:pPr>
        <w:jc w:val="both"/>
        <w:rPr>
          <w:rFonts w:ascii="Arial" w:eastAsia="Arial" w:hAnsi="Arial" w:cs="Arial"/>
          <w:b/>
        </w:rPr>
      </w:pPr>
    </w:p>
    <w:p w14:paraId="154A7D1F" w14:textId="77777777" w:rsidR="00610266" w:rsidRPr="003836A1" w:rsidRDefault="00F95AB8" w:rsidP="003836A1">
      <w:pPr>
        <w:widowControl/>
        <w:numPr>
          <w:ilvl w:val="0"/>
          <w:numId w:val="2"/>
        </w:numPr>
        <w:pBdr>
          <w:top w:val="nil"/>
          <w:left w:val="nil"/>
          <w:bottom w:val="nil"/>
          <w:right w:val="nil"/>
          <w:between w:val="nil"/>
        </w:pBdr>
        <w:ind w:left="142" w:firstLine="0"/>
        <w:jc w:val="both"/>
        <w:rPr>
          <w:rFonts w:ascii="Arial" w:eastAsia="Arial" w:hAnsi="Arial" w:cs="Arial"/>
          <w:i/>
        </w:rPr>
      </w:pPr>
      <w:r w:rsidRPr="003836A1">
        <w:rPr>
          <w:rFonts w:ascii="Arial" w:eastAsia="Arial" w:hAnsi="Arial" w:cs="Arial"/>
          <w:b/>
          <w:i/>
        </w:rPr>
        <w:t>Ley 1801 de 2016</w:t>
      </w:r>
      <w:r w:rsidRPr="003836A1">
        <w:rPr>
          <w:rFonts w:ascii="Arial" w:eastAsia="Arial" w:hAnsi="Arial" w:cs="Arial"/>
          <w:i/>
        </w:rPr>
        <w:t>. “Por la cual se expide el Nacional de Seguridad y Convivencia Ciudadana.”</w:t>
      </w:r>
    </w:p>
    <w:p w14:paraId="154A7D20" w14:textId="77777777" w:rsidR="00610266" w:rsidRPr="003836A1" w:rsidRDefault="00610266" w:rsidP="003836A1">
      <w:pPr>
        <w:jc w:val="both"/>
        <w:rPr>
          <w:rFonts w:ascii="Arial" w:eastAsia="Arial" w:hAnsi="Arial" w:cs="Arial"/>
          <w:i/>
        </w:rPr>
      </w:pPr>
    </w:p>
    <w:p w14:paraId="154A7D21" w14:textId="77777777" w:rsidR="00610266" w:rsidRPr="003836A1" w:rsidRDefault="00F95AB8" w:rsidP="003836A1">
      <w:pPr>
        <w:pStyle w:val="Ttulo2"/>
        <w:ind w:left="426"/>
        <w:jc w:val="both"/>
        <w:rPr>
          <w:b w:val="0"/>
          <w:i/>
          <w:highlight w:val="white"/>
        </w:rPr>
      </w:pPr>
      <w:r w:rsidRPr="003836A1">
        <w:rPr>
          <w:i/>
          <w:highlight w:val="white"/>
        </w:rPr>
        <w:t>Artículo 1°. Objeto</w:t>
      </w:r>
      <w:r w:rsidRPr="003836A1">
        <w:rPr>
          <w:b w:val="0"/>
          <w:i/>
          <w:highlight w:val="white"/>
        </w:rPr>
        <w:t>. Las disposiciones previstas en este Código son de carácter preventivo y buscan establecer las condiciones para la convivencia en el territorio nacional al propiciar el cumplimiento de los deberes y obligaciones de las personas naturales y jurídicas, así como determinar el ejercicio del poder, la función y la actividad de Policía, de conformidad con la Constitución Política y el ordenamiento jurídico vigente.</w:t>
      </w:r>
    </w:p>
    <w:p w14:paraId="154A7D22" w14:textId="77777777" w:rsidR="00610266" w:rsidRPr="003836A1" w:rsidRDefault="00610266" w:rsidP="003836A1">
      <w:pPr>
        <w:pStyle w:val="Ttulo2"/>
        <w:ind w:left="426"/>
        <w:jc w:val="both"/>
        <w:rPr>
          <w:b w:val="0"/>
          <w:i/>
          <w:highlight w:val="white"/>
        </w:rPr>
      </w:pPr>
    </w:p>
    <w:p w14:paraId="154A7D23"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b/>
          <w:i/>
        </w:rPr>
        <w:t>Artículo</w:t>
      </w:r>
      <w:r w:rsidRPr="003836A1">
        <w:rPr>
          <w:rFonts w:ascii="Arial" w:eastAsia="Arial" w:hAnsi="Arial" w:cs="Arial"/>
          <w:i/>
        </w:rPr>
        <w:t> </w:t>
      </w:r>
      <w:r w:rsidRPr="003836A1">
        <w:rPr>
          <w:rFonts w:ascii="Arial" w:eastAsia="Arial" w:hAnsi="Arial" w:cs="Arial"/>
          <w:b/>
          <w:i/>
        </w:rPr>
        <w:t>2°. Objetivos específicos.</w:t>
      </w:r>
      <w:r w:rsidRPr="003836A1">
        <w:rPr>
          <w:rFonts w:ascii="Arial" w:eastAsia="Arial" w:hAnsi="Arial" w:cs="Arial"/>
          <w:i/>
        </w:rPr>
        <w:t> Con el fin de mantener las condiciones necesarias para la convivencia en el territorio nacional, los objetivos específicos de este Código son los siguientes:</w:t>
      </w:r>
    </w:p>
    <w:p w14:paraId="154A7D24"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i/>
        </w:rPr>
      </w:pPr>
    </w:p>
    <w:p w14:paraId="154A7D25"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i/>
        </w:rPr>
        <w:t>1. Propiciar en la comunidad comportamientos que favorezcan la convivencia en el espacio público, áreas comunes, lugares abiertos al público o que siendo privados trasciendan a lo público.</w:t>
      </w:r>
    </w:p>
    <w:p w14:paraId="154A7D26"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i/>
        </w:rPr>
        <w:t>2. Promover el respeto, el ejercicio responsable de la libertad, la dignidad, los deberes y los derechos correlativos de la personalidad humana.</w:t>
      </w:r>
    </w:p>
    <w:p w14:paraId="154A7D27"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i/>
        </w:rPr>
        <w:t>3. Promover el uso de mecanismos alternativos, o comunitarios, para la conciliación y solución pacífica de desacuerdos entre particulares.</w:t>
      </w:r>
    </w:p>
    <w:p w14:paraId="154A7D28"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i/>
        </w:rPr>
        <w:t>4. Definir comportamientos, medidas, medios y procedimientos de Policía.</w:t>
      </w:r>
    </w:p>
    <w:p w14:paraId="154A7D29"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i/>
        </w:rPr>
        <w:t>5. Establecer la competencia de las autoridades de Policía en el orden nacional, departamental, distrital y municipal, con observancia del principio de autonomía territorial.</w:t>
      </w:r>
    </w:p>
    <w:p w14:paraId="154A7D2A"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i/>
        </w:rPr>
        <w:t xml:space="preserve">6. Establecer un procedimiento respetuoso del debido proceso, idóneo, inmediato, expedito y eficaz para la atención oportuna de los comportamientos relacionados con la convivencia en el territorio nacional. </w:t>
      </w:r>
    </w:p>
    <w:p w14:paraId="154A7D2B" w14:textId="77777777" w:rsidR="00610266" w:rsidRPr="003836A1" w:rsidRDefault="00610266" w:rsidP="003836A1">
      <w:pPr>
        <w:pStyle w:val="Ttulo2"/>
        <w:ind w:left="426"/>
        <w:jc w:val="both"/>
        <w:rPr>
          <w:b w:val="0"/>
          <w:i/>
        </w:rPr>
      </w:pPr>
    </w:p>
    <w:p w14:paraId="154A7D2C"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b/>
          <w:i/>
        </w:rPr>
        <w:t>Artículo 5°. Definición.</w:t>
      </w:r>
      <w:r w:rsidRPr="003836A1">
        <w:rPr>
          <w:rFonts w:ascii="Arial" w:eastAsia="Arial" w:hAnsi="Arial" w:cs="Arial"/>
          <w:i/>
        </w:rPr>
        <w:t> Para los efectos de este Código, se entiende por convivencia, la interacción pacífica, respetuosa y armónica entre las personas, con los bienes, y con el ambiente, en el marco del ordenamiento jurídico.</w:t>
      </w:r>
    </w:p>
    <w:p w14:paraId="154A7D2D"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i/>
        </w:rPr>
      </w:pPr>
    </w:p>
    <w:p w14:paraId="154A7D2E"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b/>
          <w:i/>
        </w:rPr>
        <w:t>Artículo 6°. Categorías jurídicas.</w:t>
      </w:r>
      <w:r w:rsidRPr="003836A1">
        <w:rPr>
          <w:rFonts w:ascii="Arial" w:eastAsia="Arial" w:hAnsi="Arial" w:cs="Arial"/>
          <w:i/>
        </w:rPr>
        <w:t> Las categorías de convivencia son: seguridad, tranquilidad, ambiente y salud pública, y su alcance es el siguiente:</w:t>
      </w:r>
    </w:p>
    <w:p w14:paraId="154A7D2F"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i/>
        </w:rPr>
      </w:pPr>
    </w:p>
    <w:p w14:paraId="154A7D30"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i/>
        </w:rPr>
        <w:t>1. Seguridad: Garantizar la protección de los derechos y libertades constitucionales y legales de las personas en el territorio nacional.</w:t>
      </w:r>
    </w:p>
    <w:p w14:paraId="154A7D31"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i/>
        </w:rPr>
        <w:t>2. Tranquilidad: Lograr que las personas ejerzan sus derechos y libertades, sin abusar de los mismos, y con plena observancia de los derechos ajenos.</w:t>
      </w:r>
    </w:p>
    <w:p w14:paraId="154A7D32"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i/>
        </w:rPr>
        <w:t>3. Ambiente: Favorecer la protección de los recursos naturales, el patrimonio ecológico, el goce y la relación sostenible con el ambiente.</w:t>
      </w:r>
    </w:p>
    <w:p w14:paraId="154A7D33"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i/>
        </w:rPr>
        <w:t xml:space="preserve">4. Salud Pública: Es la responsabilidad estatal y ciudadana de protección de la salud como un derecho esencial, individual, colectivo y comunitario logrado en función de las condiciones de bienestar y calidad de vida. </w:t>
      </w:r>
    </w:p>
    <w:p w14:paraId="154A7D34"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i/>
        </w:rPr>
      </w:pPr>
    </w:p>
    <w:p w14:paraId="154A7D35" w14:textId="77777777" w:rsidR="00610266" w:rsidRPr="003836A1" w:rsidRDefault="00610266" w:rsidP="003836A1">
      <w:pPr>
        <w:widowControl/>
        <w:shd w:val="clear" w:color="auto" w:fill="FFFFFF"/>
        <w:ind w:left="426"/>
        <w:jc w:val="both"/>
        <w:rPr>
          <w:rFonts w:ascii="Arial" w:eastAsia="Arial" w:hAnsi="Arial" w:cs="Arial"/>
          <w:b/>
          <w:i/>
        </w:rPr>
      </w:pPr>
    </w:p>
    <w:p w14:paraId="154A7D36" w14:textId="77777777" w:rsidR="00610266" w:rsidRPr="003836A1" w:rsidRDefault="00F95AB8" w:rsidP="003836A1">
      <w:pPr>
        <w:widowControl/>
        <w:shd w:val="clear" w:color="auto" w:fill="FFFFFF"/>
        <w:ind w:left="426"/>
        <w:jc w:val="both"/>
        <w:rPr>
          <w:rFonts w:ascii="Arial" w:eastAsia="Arial" w:hAnsi="Arial" w:cs="Arial"/>
          <w:b/>
          <w:i/>
          <w:u w:val="single"/>
        </w:rPr>
      </w:pPr>
      <w:r w:rsidRPr="003836A1">
        <w:rPr>
          <w:rFonts w:ascii="Arial" w:eastAsia="Arial" w:hAnsi="Arial" w:cs="Arial"/>
          <w:b/>
          <w:i/>
        </w:rPr>
        <w:t>Artículo</w:t>
      </w:r>
      <w:r w:rsidRPr="003836A1">
        <w:rPr>
          <w:rFonts w:ascii="Arial" w:eastAsia="Arial" w:hAnsi="Arial" w:cs="Arial"/>
          <w:i/>
        </w:rPr>
        <w:t> </w:t>
      </w:r>
      <w:r w:rsidRPr="003836A1">
        <w:rPr>
          <w:rFonts w:ascii="Arial" w:eastAsia="Arial" w:hAnsi="Arial" w:cs="Arial"/>
          <w:b/>
          <w:i/>
        </w:rPr>
        <w:t>13. Poder residual de Policía</w:t>
      </w:r>
      <w:r w:rsidRPr="003836A1">
        <w:rPr>
          <w:rFonts w:ascii="Arial" w:eastAsia="Arial" w:hAnsi="Arial" w:cs="Arial"/>
          <w:i/>
        </w:rPr>
        <w:t xml:space="preserve">. Los demás Concejos Distritales y los Concejos Municipales dentro de su respectivo ámbito territorial, </w:t>
      </w:r>
      <w:r w:rsidRPr="003836A1">
        <w:rPr>
          <w:rFonts w:ascii="Arial" w:eastAsia="Arial" w:hAnsi="Arial" w:cs="Arial"/>
          <w:b/>
          <w:i/>
          <w:u w:val="single"/>
        </w:rPr>
        <w:t>podrán reglamentar residualmente los comportamientos que no hayan sido regulados por la ley o los reglamentos departamentales de Policía, ciñéndose a los medios, procedimientos y medidas correctivas establecidas en la presente ley.</w:t>
      </w:r>
    </w:p>
    <w:p w14:paraId="154A7D37" w14:textId="77777777" w:rsidR="00610266" w:rsidRPr="003836A1" w:rsidRDefault="00610266" w:rsidP="003836A1">
      <w:pPr>
        <w:widowControl/>
        <w:shd w:val="clear" w:color="auto" w:fill="FFFFFF"/>
        <w:ind w:left="426"/>
        <w:jc w:val="both"/>
        <w:rPr>
          <w:rFonts w:ascii="Arial" w:eastAsia="Arial" w:hAnsi="Arial" w:cs="Arial"/>
          <w:b/>
          <w:i/>
          <w:u w:val="single"/>
        </w:rPr>
      </w:pPr>
    </w:p>
    <w:p w14:paraId="154A7D38"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Estas Corporaciones en el ejercicio del poder residual no podrán:</w:t>
      </w:r>
    </w:p>
    <w:p w14:paraId="154A7D39" w14:textId="77777777" w:rsidR="00610266" w:rsidRPr="003836A1" w:rsidRDefault="00610266" w:rsidP="003836A1">
      <w:pPr>
        <w:widowControl/>
        <w:shd w:val="clear" w:color="auto" w:fill="FFFFFF"/>
        <w:ind w:left="426"/>
        <w:jc w:val="both"/>
        <w:rPr>
          <w:rFonts w:ascii="Arial" w:eastAsia="Arial" w:hAnsi="Arial" w:cs="Arial"/>
          <w:i/>
        </w:rPr>
      </w:pPr>
    </w:p>
    <w:p w14:paraId="154A7D3A"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1. Establecer limitaciones, restricciones o normas adicionales a los derechos y deberes de las personas, que no hayan sido previstas o autorizadas por el legislador.</w:t>
      </w:r>
    </w:p>
    <w:p w14:paraId="154A7D3B" w14:textId="77777777" w:rsidR="00610266" w:rsidRPr="003836A1" w:rsidRDefault="00610266" w:rsidP="003836A1">
      <w:pPr>
        <w:widowControl/>
        <w:shd w:val="clear" w:color="auto" w:fill="FFFFFF"/>
        <w:ind w:left="426"/>
        <w:jc w:val="both"/>
        <w:rPr>
          <w:rFonts w:ascii="Arial" w:eastAsia="Arial" w:hAnsi="Arial" w:cs="Arial"/>
          <w:i/>
        </w:rPr>
      </w:pPr>
    </w:p>
    <w:p w14:paraId="154A7D3C"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2. Establecer medios, procedimientos o medidas correctivas diferentes a las previstas por el legislador.</w:t>
      </w:r>
    </w:p>
    <w:p w14:paraId="154A7D3D" w14:textId="77777777" w:rsidR="00610266" w:rsidRPr="003836A1" w:rsidRDefault="00610266" w:rsidP="003836A1">
      <w:pPr>
        <w:widowControl/>
        <w:shd w:val="clear" w:color="auto" w:fill="FFFFFF"/>
        <w:ind w:left="426"/>
        <w:jc w:val="both"/>
        <w:rPr>
          <w:rFonts w:ascii="Arial" w:eastAsia="Arial" w:hAnsi="Arial" w:cs="Arial"/>
          <w:i/>
        </w:rPr>
      </w:pPr>
    </w:p>
    <w:p w14:paraId="154A7D3E"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3. Exigir requisitos adicionales para ejercer derechos o actividades reglamentadas de manera general, ni afectar los establecidos en la ley.</w:t>
      </w:r>
    </w:p>
    <w:p w14:paraId="154A7D3F" w14:textId="77777777" w:rsidR="00610266" w:rsidRPr="003836A1" w:rsidRDefault="00610266" w:rsidP="003836A1">
      <w:pPr>
        <w:widowControl/>
        <w:shd w:val="clear" w:color="auto" w:fill="FFFFFF"/>
        <w:ind w:left="426"/>
        <w:jc w:val="both"/>
        <w:rPr>
          <w:rFonts w:ascii="Arial" w:eastAsia="Arial" w:hAnsi="Arial" w:cs="Arial"/>
          <w:i/>
        </w:rPr>
      </w:pPr>
    </w:p>
    <w:p w14:paraId="154A7D40" w14:textId="77777777" w:rsidR="00610266" w:rsidRPr="003836A1" w:rsidRDefault="00F95AB8" w:rsidP="003836A1">
      <w:pPr>
        <w:widowControl/>
        <w:shd w:val="clear" w:color="auto" w:fill="FFFFFF"/>
        <w:ind w:left="426"/>
        <w:jc w:val="both"/>
        <w:rPr>
          <w:rFonts w:ascii="Arial" w:eastAsia="Arial" w:hAnsi="Arial" w:cs="Arial"/>
          <w:i/>
          <w:u w:val="single"/>
        </w:rPr>
      </w:pPr>
      <w:r w:rsidRPr="003836A1">
        <w:rPr>
          <w:rFonts w:ascii="Arial" w:eastAsia="Arial" w:hAnsi="Arial" w:cs="Arial"/>
          <w:b/>
          <w:i/>
          <w:u w:val="single"/>
        </w:rPr>
        <w:t>Parágrafo.</w:t>
      </w:r>
      <w:r w:rsidRPr="003836A1">
        <w:rPr>
          <w:rFonts w:ascii="Arial" w:eastAsia="Arial" w:hAnsi="Arial" w:cs="Arial"/>
          <w:i/>
          <w:u w:val="single"/>
        </w:rPr>
        <w:t> Los Concejos Municipales y Distritales podrán establecer formas de control policial sobre las normas de ordenamiento territorial, usos del suelo y defensa del patrimonio ecológico y cultural.</w:t>
      </w:r>
    </w:p>
    <w:p w14:paraId="154A7D41" w14:textId="77777777" w:rsidR="00610266" w:rsidRPr="003836A1" w:rsidRDefault="00610266" w:rsidP="003836A1">
      <w:pPr>
        <w:widowControl/>
        <w:shd w:val="clear" w:color="auto" w:fill="FFFFFF"/>
        <w:ind w:left="426"/>
        <w:jc w:val="both"/>
        <w:rPr>
          <w:rFonts w:ascii="Arial" w:eastAsia="Arial" w:hAnsi="Arial" w:cs="Arial"/>
          <w:i/>
          <w:u w:val="single"/>
        </w:rPr>
      </w:pPr>
    </w:p>
    <w:p w14:paraId="154A7D42"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b/>
          <w:i/>
        </w:rPr>
        <w:t>Artículo</w:t>
      </w:r>
      <w:r w:rsidRPr="003836A1">
        <w:rPr>
          <w:rFonts w:ascii="Arial" w:eastAsia="Arial" w:hAnsi="Arial" w:cs="Arial"/>
          <w:i/>
        </w:rPr>
        <w:t> </w:t>
      </w:r>
      <w:r w:rsidRPr="003836A1">
        <w:rPr>
          <w:rFonts w:ascii="Arial" w:eastAsia="Arial" w:hAnsi="Arial" w:cs="Arial"/>
          <w:b/>
          <w:i/>
        </w:rPr>
        <w:t>19. Consejos de Seguridad y Convivencia y Comité Civil de Convivencia. </w:t>
      </w:r>
      <w:r w:rsidRPr="003836A1">
        <w:rPr>
          <w:rFonts w:ascii="Arial" w:eastAsia="Arial" w:hAnsi="Arial" w:cs="Arial"/>
          <w:i/>
        </w:rPr>
        <w:t xml:space="preserve">Los Consejos de Seguridad y Convivencia son cuerpos consultivos y de decisión para la prevención y reacción ante los problemas relacionados con la seguridad y la convivencia en el nivel nacional, regional, departamental, distrital, municipal o metropolitano. El Gobierno nacional establecerá mediante reglamentación los objetivos, funciones, integrantes y demás aspectos relacionados con el funcionamiento de los Consejos de Seguridad y Convivencia. </w:t>
      </w:r>
    </w:p>
    <w:p w14:paraId="154A7D43"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i/>
        </w:rPr>
      </w:pPr>
    </w:p>
    <w:p w14:paraId="154A7D44"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i/>
        </w:rPr>
        <w:t>De manera subsidiaria, las autoridades ejecutivas de los niveles distrital, departamental y municipal, considerando su especificidad y necesidad, podrán complementar la regulación hecha por el Gobierno nacional.</w:t>
      </w:r>
    </w:p>
    <w:p w14:paraId="154A7D45"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i/>
        </w:rPr>
      </w:pPr>
    </w:p>
    <w:p w14:paraId="154A7D46"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i/>
        </w:rPr>
        <w:t>Créanse los Comités Civiles de Convivencia en cada municipio o distrito, cuyo objeto será analizar hechos y fenómenos que afectan la convivencia, así como tramitar las quejas, denuncias, peticiones o reconocimientos reportados en relación con la función y la actividad de Policía en su respectiva jurisdicción priorizando los casos relacionados con actuaciones donde hubieren podido verse afectados los intereses colectivos.</w:t>
      </w:r>
    </w:p>
    <w:p w14:paraId="154A7D47"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i/>
        </w:rPr>
      </w:pPr>
    </w:p>
    <w:p w14:paraId="154A7D48"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i/>
        </w:rPr>
        <w:t>Estos Comités podrán emitir recomendaciones para mejorar la función y la actividad de Policía y garantizar la transparencia en el ejercicio de sus funciones. Así mismo, deberán fomentar e incentivar que la ciudadanía presente las denuncias y quejas que correspondan y promoverá campañas de información sobre los derechos, deberes y garantías de los ciudadanos ante las actividades de Policía.</w:t>
      </w:r>
    </w:p>
    <w:p w14:paraId="154A7D49"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i/>
        </w:rPr>
      </w:pPr>
    </w:p>
    <w:p w14:paraId="154A7D4A"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i/>
        </w:rPr>
        <w:t>Este Comité estará conformado por el Alcalde, el Personero Municipal y el Comandante de Estación del respectivo distrito, municipio o localidad.</w:t>
      </w:r>
    </w:p>
    <w:p w14:paraId="154A7D4B"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i/>
        </w:rPr>
      </w:pPr>
    </w:p>
    <w:p w14:paraId="154A7D4C"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b/>
          <w:i/>
        </w:rPr>
      </w:pPr>
      <w:r w:rsidRPr="003836A1">
        <w:rPr>
          <w:rFonts w:ascii="Arial" w:eastAsia="Arial" w:hAnsi="Arial" w:cs="Arial"/>
          <w:i/>
        </w:rPr>
        <w:t>Estos Comités deberán reunirse, al menos, una vez al mes</w:t>
      </w:r>
      <w:r w:rsidRPr="003836A1">
        <w:rPr>
          <w:rFonts w:ascii="Arial" w:eastAsia="Arial" w:hAnsi="Arial" w:cs="Arial"/>
          <w:b/>
          <w:i/>
        </w:rPr>
        <w:t>.</w:t>
      </w:r>
    </w:p>
    <w:p w14:paraId="154A7D4D"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b/>
          <w:i/>
        </w:rPr>
      </w:pPr>
    </w:p>
    <w:p w14:paraId="154A7D4E"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b/>
          <w:i/>
        </w:rPr>
        <w:t>Artículo 33. Comportamientos que afectan la tranquilidad y relaciones respetuosas de las personas.</w:t>
      </w:r>
      <w:r w:rsidRPr="003836A1">
        <w:rPr>
          <w:rFonts w:ascii="Arial" w:eastAsia="Arial" w:hAnsi="Arial" w:cs="Arial"/>
          <w:i/>
        </w:rPr>
        <w:t> </w:t>
      </w:r>
      <w:hyperlink r:id="rId17" w:anchor="2">
        <w:r w:rsidRPr="003836A1">
          <w:rPr>
            <w:rFonts w:ascii="Arial" w:eastAsia="Arial" w:hAnsi="Arial" w:cs="Arial"/>
            <w:i/>
            <w:u w:val="single"/>
          </w:rPr>
          <w:t>Corregido por el art. 2, Decreto Nacional 555 de 2017.</w:t>
        </w:r>
      </w:hyperlink>
      <w:r w:rsidRPr="003836A1">
        <w:rPr>
          <w:rFonts w:ascii="Arial" w:eastAsia="Arial" w:hAnsi="Arial" w:cs="Arial"/>
          <w:i/>
        </w:rPr>
        <w:t> &lt;El nuevo texto es el siguiente&gt; </w:t>
      </w:r>
      <w:r w:rsidRPr="003836A1">
        <w:rPr>
          <w:rFonts w:ascii="Arial" w:eastAsia="Arial" w:hAnsi="Arial" w:cs="Arial"/>
          <w:i/>
          <w:highlight w:val="white"/>
        </w:rPr>
        <w:t>Los siguientes comportamientos afectan la tranquilidad y relaciones respetuosas de las personas y por lo tanto no deben efectuarse: </w:t>
      </w:r>
    </w:p>
    <w:p w14:paraId="154A7D4F"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1. En el vecindario o lugar de habitación urbana o rural: Perturbar o permitir que se afecte el sosiego con:</w:t>
      </w:r>
    </w:p>
    <w:p w14:paraId="154A7D50" w14:textId="77777777" w:rsidR="00610266" w:rsidRPr="003836A1" w:rsidRDefault="00F95AB8" w:rsidP="003836A1">
      <w:pPr>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i/>
        </w:rPr>
        <w:t> </w:t>
      </w:r>
    </w:p>
    <w:p w14:paraId="154A7D51"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a) Sonidos o ruidos en actividades, fiestas, reuniones o eventos similares que afecten la convivencia del vecindario, cuando generen molestia por su impacto auditivo, en cuyo caso podrán las autoridades de Policía desactivar temporalmente la fuente del ruido, en caso de que el residente se niegue a desactivarlo;</w:t>
      </w:r>
    </w:p>
    <w:p w14:paraId="154A7D52"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 </w:t>
      </w:r>
    </w:p>
    <w:p w14:paraId="154A7D53"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b) Cualquier medio de producción de sonidos o dispositivos o accesorios o maquinaria que produzcan ruidos, desde bienes muebles o inmuebles, en cuyo caso podrán las autoridades identificar, registrar y desactivar temporalmente la fuente del ruido, salvo sean originados en construcciones o reparaciones en horas permitidas;</w:t>
      </w:r>
    </w:p>
    <w:p w14:paraId="154A7D54"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 </w:t>
      </w:r>
    </w:p>
    <w:p w14:paraId="154A7D55" w14:textId="77777777" w:rsidR="00610266" w:rsidRPr="003836A1" w:rsidRDefault="00F95AB8" w:rsidP="003836A1">
      <w:pPr>
        <w:shd w:val="clear" w:color="auto" w:fill="FFFFFF"/>
        <w:ind w:left="426"/>
        <w:jc w:val="both"/>
        <w:rPr>
          <w:rFonts w:ascii="Arial" w:eastAsia="Arial" w:hAnsi="Arial" w:cs="Arial"/>
          <w:b/>
          <w:i/>
        </w:rPr>
      </w:pPr>
      <w:r w:rsidRPr="003836A1">
        <w:rPr>
          <w:rFonts w:ascii="Arial" w:eastAsia="Arial" w:hAnsi="Arial" w:cs="Arial"/>
          <w:b/>
          <w:i/>
        </w:rPr>
        <w:t>NOTA: Declarado exequible (el literal a) del numeral 1 del artículo 33 de la Ley 1801 de 2016, (la frase “desactivar temporalmente la fuente de ruido ” contenida en el literal b) del numeral 1 del artículo 33. Sentencia C-308 de 2019. Magistrada Ponente: Diana Fajardo Rivera. </w:t>
      </w:r>
    </w:p>
    <w:p w14:paraId="154A7D56" w14:textId="77777777" w:rsidR="00610266" w:rsidRPr="003836A1" w:rsidRDefault="00610266" w:rsidP="003836A1">
      <w:pPr>
        <w:shd w:val="clear" w:color="auto" w:fill="FFFFFF"/>
        <w:ind w:left="426"/>
        <w:jc w:val="both"/>
        <w:rPr>
          <w:rFonts w:ascii="Arial" w:eastAsia="Arial" w:hAnsi="Arial" w:cs="Arial"/>
          <w:i/>
        </w:rPr>
      </w:pPr>
    </w:p>
    <w:p w14:paraId="154A7D57" w14:textId="77777777" w:rsidR="00610266" w:rsidRPr="003836A1" w:rsidRDefault="00F95AB8" w:rsidP="003836A1">
      <w:pPr>
        <w:shd w:val="clear" w:color="auto" w:fill="FFFFFF"/>
        <w:ind w:left="426"/>
        <w:jc w:val="both"/>
        <w:rPr>
          <w:rFonts w:ascii="Arial" w:eastAsia="Arial" w:hAnsi="Arial" w:cs="Arial"/>
          <w:b/>
          <w:i/>
          <w:u w:val="single"/>
        </w:rPr>
      </w:pPr>
      <w:r w:rsidRPr="003836A1">
        <w:rPr>
          <w:rFonts w:ascii="Arial" w:eastAsia="Arial" w:hAnsi="Arial" w:cs="Arial"/>
          <w:b/>
          <w:i/>
          <w:u w:val="single"/>
        </w:rPr>
        <w:t>c) Actividades diferentes a las aquí señaladas en vía pública o en privado, cuando trascienda a lo público, y perturben o afecten la tranquilidad de las personas.</w:t>
      </w:r>
    </w:p>
    <w:p w14:paraId="154A7D58" w14:textId="77777777" w:rsidR="00610266" w:rsidRPr="003836A1" w:rsidRDefault="00F95AB8" w:rsidP="003836A1">
      <w:pPr>
        <w:shd w:val="clear" w:color="auto" w:fill="FFFFFF"/>
        <w:ind w:left="426"/>
        <w:jc w:val="both"/>
        <w:rPr>
          <w:rFonts w:ascii="Arial" w:eastAsia="Arial" w:hAnsi="Arial" w:cs="Arial"/>
          <w:b/>
          <w:i/>
          <w:u w:val="single"/>
        </w:rPr>
      </w:pPr>
      <w:r w:rsidRPr="003836A1">
        <w:rPr>
          <w:rFonts w:ascii="Arial" w:eastAsia="Arial" w:hAnsi="Arial" w:cs="Arial"/>
          <w:b/>
          <w:i/>
          <w:u w:val="single"/>
        </w:rPr>
        <w:t> </w:t>
      </w:r>
    </w:p>
    <w:p w14:paraId="154A7D59"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2. En espacio público, lugares abiertos al público, o que siendo privados trasciendan a lo público:</w:t>
      </w:r>
    </w:p>
    <w:p w14:paraId="154A7D5A"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 </w:t>
      </w:r>
    </w:p>
    <w:p w14:paraId="154A7D5B"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a) Irrespetar las normas propias de los lugares públicos tales como salas de velación, cementerios, clínicas, hospitales, bibliotecas y museos, entre otros.</w:t>
      </w:r>
    </w:p>
    <w:p w14:paraId="154A7D5C"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 </w:t>
      </w:r>
    </w:p>
    <w:p w14:paraId="154A7D5D"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b) Realizar actos sexuales o de exhibicionismo que generen molestia a la comunidad.</w:t>
      </w:r>
    </w:p>
    <w:p w14:paraId="154A7D5E"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 </w:t>
      </w:r>
    </w:p>
    <w:p w14:paraId="154A7D5F"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 xml:space="preserve">c) Consumir sustancias </w:t>
      </w:r>
      <w:r w:rsidRPr="003836A1">
        <w:rPr>
          <w:rFonts w:ascii="Arial" w:eastAsia="Arial" w:hAnsi="Arial" w:cs="Arial"/>
          <w:i/>
          <w:u w:val="single"/>
        </w:rPr>
        <w:t>alcohólicas</w:t>
      </w:r>
      <w:r w:rsidRPr="003836A1">
        <w:rPr>
          <w:rFonts w:ascii="Arial" w:eastAsia="Arial" w:hAnsi="Arial" w:cs="Arial"/>
          <w:i/>
        </w:rPr>
        <w:t xml:space="preserve">, </w:t>
      </w:r>
      <w:r w:rsidRPr="003836A1">
        <w:rPr>
          <w:rFonts w:ascii="Arial" w:eastAsia="Arial" w:hAnsi="Arial" w:cs="Arial"/>
          <w:i/>
          <w:u w:val="single"/>
        </w:rPr>
        <w:t>psicoactivas o</w:t>
      </w:r>
      <w:r w:rsidRPr="003836A1">
        <w:rPr>
          <w:rFonts w:ascii="Arial" w:eastAsia="Arial" w:hAnsi="Arial" w:cs="Arial"/>
          <w:i/>
        </w:rPr>
        <w:t xml:space="preserve"> prohibidas, no autorizados para su consumo.</w:t>
      </w:r>
    </w:p>
    <w:p w14:paraId="154A7D60" w14:textId="77777777" w:rsidR="00610266" w:rsidRPr="003836A1" w:rsidRDefault="00610266" w:rsidP="003836A1">
      <w:pPr>
        <w:shd w:val="clear" w:color="auto" w:fill="FFFFFF"/>
        <w:ind w:left="426"/>
        <w:jc w:val="both"/>
        <w:rPr>
          <w:rFonts w:ascii="Arial" w:eastAsia="Arial" w:hAnsi="Arial" w:cs="Arial"/>
          <w:i/>
        </w:rPr>
      </w:pPr>
    </w:p>
    <w:p w14:paraId="154A7D61" w14:textId="77777777" w:rsidR="00610266" w:rsidRPr="003836A1" w:rsidRDefault="00F95AB8" w:rsidP="003836A1">
      <w:pPr>
        <w:shd w:val="clear" w:color="auto" w:fill="FFFFFF"/>
        <w:ind w:left="426"/>
        <w:jc w:val="both"/>
        <w:rPr>
          <w:rFonts w:ascii="Arial" w:eastAsia="Arial" w:hAnsi="Arial" w:cs="Arial"/>
          <w:i/>
          <w:highlight w:val="white"/>
        </w:rPr>
      </w:pPr>
      <w:r w:rsidRPr="003836A1">
        <w:rPr>
          <w:rFonts w:ascii="Arial" w:eastAsia="Arial" w:hAnsi="Arial" w:cs="Arial"/>
          <w:b/>
          <w:i/>
        </w:rPr>
        <w:t>NOTA: Las expresiones ‘alcohólicas, psicoactivas o’ fueron declaradas INEXEQUIBLES por la Sentencia </w:t>
      </w:r>
      <w:hyperlink r:id="rId18" w:anchor="R.1">
        <w:r w:rsidRPr="003836A1">
          <w:rPr>
            <w:rFonts w:ascii="Arial" w:eastAsia="Arial" w:hAnsi="Arial" w:cs="Arial"/>
            <w:i/>
            <w:u w:val="single"/>
          </w:rPr>
          <w:t>C-253</w:t>
        </w:r>
      </w:hyperlink>
      <w:r w:rsidRPr="003836A1">
        <w:rPr>
          <w:rFonts w:ascii="Arial" w:eastAsia="Arial" w:hAnsi="Arial" w:cs="Arial"/>
          <w:b/>
          <w:i/>
        </w:rPr>
        <w:t> de 2019. Magistrada Ponente: Diana Fajardo Rivera.  </w:t>
      </w:r>
      <w:r w:rsidRPr="003836A1">
        <w:rPr>
          <w:rFonts w:ascii="Arial" w:eastAsia="Arial" w:hAnsi="Arial" w:cs="Arial"/>
          <w:i/>
          <w:highlight w:val="white"/>
        </w:rPr>
        <w:t> </w:t>
      </w:r>
    </w:p>
    <w:p w14:paraId="154A7D62" w14:textId="77777777" w:rsidR="00610266" w:rsidRPr="003836A1" w:rsidRDefault="00610266" w:rsidP="003836A1">
      <w:pPr>
        <w:shd w:val="clear" w:color="auto" w:fill="FFFFFF"/>
        <w:jc w:val="both"/>
        <w:rPr>
          <w:rFonts w:ascii="Arial" w:eastAsia="Arial" w:hAnsi="Arial" w:cs="Arial"/>
          <w:i/>
        </w:rPr>
      </w:pPr>
    </w:p>
    <w:p w14:paraId="154A7D63"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d) Fumar en lugares prohibidos.</w:t>
      </w:r>
    </w:p>
    <w:p w14:paraId="154A7D64"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 </w:t>
      </w:r>
    </w:p>
    <w:p w14:paraId="154A7D65"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e) Limitar u obstruir las manifestaciones de afecto y cariño que no configuren actos sexuales o de exhibicionismo en razón a la raza, origen nacional o familiar, orientación sexual, identidad de género u otra condición similar.</w:t>
      </w:r>
    </w:p>
    <w:p w14:paraId="154A7D66"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b/>
          <w:i/>
        </w:rPr>
        <w:t> </w:t>
      </w:r>
    </w:p>
    <w:p w14:paraId="154A7D67"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b/>
          <w:i/>
        </w:rPr>
        <w:t>Parágrafo 1°.</w:t>
      </w:r>
      <w:r w:rsidRPr="003836A1">
        <w:rPr>
          <w:rFonts w:ascii="Arial" w:eastAsia="Arial" w:hAnsi="Arial" w:cs="Arial"/>
          <w:i/>
        </w:rPr>
        <w:t> Quien incurra en uno o más de los comportamientos antes señalados, será objeto de la aplicación de las siguientes medidas correctivas:</w:t>
      </w:r>
    </w:p>
    <w:p w14:paraId="154A7D68"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 </w:t>
      </w:r>
    </w:p>
    <w:tbl>
      <w:tblPr>
        <w:tblStyle w:val="a0"/>
        <w:tblW w:w="6794" w:type="dxa"/>
        <w:jc w:val="center"/>
        <w:tblInd w:w="0" w:type="dxa"/>
        <w:tblLayout w:type="fixed"/>
        <w:tblLook w:val="0400" w:firstRow="0" w:lastRow="0" w:firstColumn="0" w:lastColumn="0" w:noHBand="0" w:noVBand="1"/>
      </w:tblPr>
      <w:tblGrid>
        <w:gridCol w:w="2786"/>
        <w:gridCol w:w="4008"/>
      </w:tblGrid>
      <w:tr w:rsidR="003836A1" w:rsidRPr="003836A1" w14:paraId="154A7D6B" w14:textId="77777777">
        <w:trPr>
          <w:trHeight w:val="222"/>
          <w:jc w:val="center"/>
        </w:trPr>
        <w:tc>
          <w:tcPr>
            <w:tcW w:w="2786" w:type="dxa"/>
            <w:tcBorders>
              <w:top w:val="single" w:sz="8" w:space="0" w:color="181717"/>
              <w:left w:val="single" w:sz="8" w:space="0" w:color="181717"/>
              <w:bottom w:val="single" w:sz="8" w:space="0" w:color="181717"/>
              <w:right w:val="single" w:sz="8" w:space="0" w:color="181717"/>
            </w:tcBorders>
            <w:shd w:val="clear" w:color="auto" w:fill="auto"/>
            <w:tcMar>
              <w:top w:w="57" w:type="dxa"/>
              <w:left w:w="57" w:type="dxa"/>
              <w:bottom w:w="0" w:type="dxa"/>
              <w:right w:w="17" w:type="dxa"/>
            </w:tcMar>
          </w:tcPr>
          <w:p w14:paraId="154A7D69" w14:textId="77777777" w:rsidR="00610266" w:rsidRPr="003836A1" w:rsidRDefault="00F95AB8" w:rsidP="003836A1">
            <w:pPr>
              <w:ind w:left="426"/>
              <w:jc w:val="both"/>
              <w:rPr>
                <w:rFonts w:ascii="Arial" w:eastAsia="Arial" w:hAnsi="Arial" w:cs="Arial"/>
                <w:i/>
              </w:rPr>
            </w:pPr>
            <w:r w:rsidRPr="003836A1">
              <w:rPr>
                <w:rFonts w:ascii="Arial" w:eastAsia="Arial" w:hAnsi="Arial" w:cs="Arial"/>
                <w:b/>
                <w:i/>
              </w:rPr>
              <w:t>COMPORTAMIENTOS</w:t>
            </w:r>
          </w:p>
        </w:tc>
        <w:tc>
          <w:tcPr>
            <w:tcW w:w="4008" w:type="dxa"/>
            <w:tcBorders>
              <w:top w:val="single" w:sz="8" w:space="0" w:color="181717"/>
              <w:left w:val="nil"/>
              <w:bottom w:val="single" w:sz="8" w:space="0" w:color="181717"/>
              <w:right w:val="single" w:sz="8" w:space="0" w:color="181717"/>
            </w:tcBorders>
            <w:shd w:val="clear" w:color="auto" w:fill="auto"/>
            <w:tcMar>
              <w:top w:w="57" w:type="dxa"/>
              <w:left w:w="57" w:type="dxa"/>
              <w:bottom w:w="0" w:type="dxa"/>
              <w:right w:w="17" w:type="dxa"/>
            </w:tcMar>
          </w:tcPr>
          <w:p w14:paraId="154A7D6A" w14:textId="77777777" w:rsidR="00610266" w:rsidRPr="003836A1" w:rsidRDefault="00F95AB8" w:rsidP="003836A1">
            <w:pPr>
              <w:ind w:left="426"/>
              <w:jc w:val="both"/>
              <w:rPr>
                <w:rFonts w:ascii="Arial" w:eastAsia="Arial" w:hAnsi="Arial" w:cs="Arial"/>
                <w:i/>
              </w:rPr>
            </w:pPr>
            <w:r w:rsidRPr="003836A1">
              <w:rPr>
                <w:rFonts w:ascii="Arial" w:eastAsia="Arial" w:hAnsi="Arial" w:cs="Arial"/>
                <w:b/>
                <w:i/>
              </w:rPr>
              <w:t>MEDIDA CORRECTIVA A APLICAR</w:t>
            </w:r>
          </w:p>
        </w:tc>
      </w:tr>
      <w:tr w:rsidR="003836A1" w:rsidRPr="003836A1" w14:paraId="154A7D6E" w14:textId="77777777">
        <w:trPr>
          <w:trHeight w:val="404"/>
          <w:jc w:val="center"/>
        </w:trPr>
        <w:tc>
          <w:tcPr>
            <w:tcW w:w="2786"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tcPr>
          <w:p w14:paraId="154A7D6C"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Numeral 1</w:t>
            </w:r>
          </w:p>
        </w:tc>
        <w:tc>
          <w:tcPr>
            <w:tcW w:w="4008" w:type="dxa"/>
            <w:tcBorders>
              <w:top w:val="nil"/>
              <w:left w:val="nil"/>
              <w:bottom w:val="single" w:sz="8" w:space="0" w:color="181717"/>
              <w:right w:val="single" w:sz="8" w:space="0" w:color="181717"/>
            </w:tcBorders>
            <w:shd w:val="clear" w:color="auto" w:fill="auto"/>
            <w:tcMar>
              <w:top w:w="57" w:type="dxa"/>
              <w:left w:w="57" w:type="dxa"/>
              <w:bottom w:w="0" w:type="dxa"/>
              <w:right w:w="17" w:type="dxa"/>
            </w:tcMar>
          </w:tcPr>
          <w:p w14:paraId="154A7D6D"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Multa General tipo 3; Disolución de reunión o actividad que involucra aglomeraciones de público no complejas.</w:t>
            </w:r>
          </w:p>
        </w:tc>
      </w:tr>
      <w:tr w:rsidR="003836A1" w:rsidRPr="003836A1" w14:paraId="154A7D71" w14:textId="77777777">
        <w:trPr>
          <w:trHeight w:val="224"/>
          <w:jc w:val="center"/>
        </w:trPr>
        <w:tc>
          <w:tcPr>
            <w:tcW w:w="2786"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tcPr>
          <w:p w14:paraId="154A7D6F"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Numeral 2, literal a)</w:t>
            </w:r>
          </w:p>
        </w:tc>
        <w:tc>
          <w:tcPr>
            <w:tcW w:w="4008" w:type="dxa"/>
            <w:tcBorders>
              <w:top w:val="nil"/>
              <w:left w:val="nil"/>
              <w:bottom w:val="single" w:sz="8" w:space="0" w:color="181717"/>
              <w:right w:val="single" w:sz="8" w:space="0" w:color="181717"/>
            </w:tcBorders>
            <w:shd w:val="clear" w:color="auto" w:fill="auto"/>
            <w:tcMar>
              <w:top w:w="57" w:type="dxa"/>
              <w:left w:w="57" w:type="dxa"/>
              <w:bottom w:w="0" w:type="dxa"/>
              <w:right w:w="17" w:type="dxa"/>
            </w:tcMar>
          </w:tcPr>
          <w:p w14:paraId="154A7D70"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Multa General tipo 3.</w:t>
            </w:r>
          </w:p>
        </w:tc>
      </w:tr>
      <w:tr w:rsidR="003836A1" w:rsidRPr="003836A1" w14:paraId="154A7D74" w14:textId="77777777">
        <w:trPr>
          <w:trHeight w:val="224"/>
          <w:jc w:val="center"/>
        </w:trPr>
        <w:tc>
          <w:tcPr>
            <w:tcW w:w="2786"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tcPr>
          <w:p w14:paraId="154A7D72"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Numeral 2, literal b)</w:t>
            </w:r>
          </w:p>
        </w:tc>
        <w:tc>
          <w:tcPr>
            <w:tcW w:w="4008" w:type="dxa"/>
            <w:tcBorders>
              <w:top w:val="nil"/>
              <w:left w:val="nil"/>
              <w:bottom w:val="single" w:sz="8" w:space="0" w:color="181717"/>
              <w:right w:val="single" w:sz="8" w:space="0" w:color="181717"/>
            </w:tcBorders>
            <w:shd w:val="clear" w:color="auto" w:fill="auto"/>
            <w:tcMar>
              <w:top w:w="57" w:type="dxa"/>
              <w:left w:w="57" w:type="dxa"/>
              <w:bottom w:w="0" w:type="dxa"/>
              <w:right w:w="17" w:type="dxa"/>
            </w:tcMar>
          </w:tcPr>
          <w:p w14:paraId="154A7D73"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Multa General tipo 3.</w:t>
            </w:r>
          </w:p>
        </w:tc>
      </w:tr>
      <w:tr w:rsidR="003836A1" w:rsidRPr="003836A1" w14:paraId="154A7D77" w14:textId="77777777">
        <w:trPr>
          <w:trHeight w:val="404"/>
          <w:jc w:val="center"/>
        </w:trPr>
        <w:tc>
          <w:tcPr>
            <w:tcW w:w="2786"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tcPr>
          <w:p w14:paraId="154A7D75"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Numeral 2, literal c)</w:t>
            </w:r>
          </w:p>
        </w:tc>
        <w:tc>
          <w:tcPr>
            <w:tcW w:w="4008" w:type="dxa"/>
            <w:tcBorders>
              <w:top w:val="nil"/>
              <w:left w:val="nil"/>
              <w:bottom w:val="single" w:sz="8" w:space="0" w:color="181717"/>
              <w:right w:val="single" w:sz="8" w:space="0" w:color="181717"/>
            </w:tcBorders>
            <w:shd w:val="clear" w:color="auto" w:fill="auto"/>
            <w:tcMar>
              <w:top w:w="57" w:type="dxa"/>
              <w:left w:w="57" w:type="dxa"/>
              <w:bottom w:w="0" w:type="dxa"/>
              <w:right w:w="17" w:type="dxa"/>
            </w:tcMar>
          </w:tcPr>
          <w:p w14:paraId="154A7D76"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Multa General tipo 2; Disolución de reunión o actividad que involucra aglomeraciones de público no complejas.</w:t>
            </w:r>
          </w:p>
        </w:tc>
      </w:tr>
      <w:tr w:rsidR="003836A1" w:rsidRPr="003836A1" w14:paraId="154A7D7A" w14:textId="77777777">
        <w:trPr>
          <w:trHeight w:val="224"/>
          <w:jc w:val="center"/>
        </w:trPr>
        <w:tc>
          <w:tcPr>
            <w:tcW w:w="2786"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tcPr>
          <w:p w14:paraId="154A7D78"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Numeral 2, literal d)</w:t>
            </w:r>
          </w:p>
        </w:tc>
        <w:tc>
          <w:tcPr>
            <w:tcW w:w="4008" w:type="dxa"/>
            <w:tcBorders>
              <w:top w:val="nil"/>
              <w:left w:val="nil"/>
              <w:bottom w:val="single" w:sz="8" w:space="0" w:color="181717"/>
              <w:right w:val="single" w:sz="8" w:space="0" w:color="181717"/>
            </w:tcBorders>
            <w:shd w:val="clear" w:color="auto" w:fill="auto"/>
            <w:tcMar>
              <w:top w:w="57" w:type="dxa"/>
              <w:left w:w="57" w:type="dxa"/>
              <w:bottom w:w="0" w:type="dxa"/>
              <w:right w:w="17" w:type="dxa"/>
            </w:tcMar>
          </w:tcPr>
          <w:p w14:paraId="154A7D79"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Amonestación.</w:t>
            </w:r>
          </w:p>
        </w:tc>
      </w:tr>
      <w:tr w:rsidR="003836A1" w:rsidRPr="003836A1" w14:paraId="154A7D7D" w14:textId="77777777">
        <w:trPr>
          <w:trHeight w:val="224"/>
          <w:jc w:val="center"/>
        </w:trPr>
        <w:tc>
          <w:tcPr>
            <w:tcW w:w="2786"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tcPr>
          <w:p w14:paraId="154A7D7B"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Numeral 2, literal e)</w:t>
            </w:r>
          </w:p>
        </w:tc>
        <w:tc>
          <w:tcPr>
            <w:tcW w:w="4008" w:type="dxa"/>
            <w:tcBorders>
              <w:top w:val="nil"/>
              <w:left w:val="nil"/>
              <w:bottom w:val="single" w:sz="8" w:space="0" w:color="181717"/>
              <w:right w:val="single" w:sz="8" w:space="0" w:color="181717"/>
            </w:tcBorders>
            <w:shd w:val="clear" w:color="auto" w:fill="auto"/>
            <w:tcMar>
              <w:top w:w="57" w:type="dxa"/>
              <w:left w:w="57" w:type="dxa"/>
              <w:bottom w:w="0" w:type="dxa"/>
              <w:right w:w="17" w:type="dxa"/>
            </w:tcMar>
          </w:tcPr>
          <w:p w14:paraId="154A7D7C"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Multa general tipo 1.</w:t>
            </w:r>
          </w:p>
        </w:tc>
      </w:tr>
    </w:tbl>
    <w:p w14:paraId="154A7D7E"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 </w:t>
      </w:r>
    </w:p>
    <w:p w14:paraId="154A7D7F"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b/>
          <w:i/>
        </w:rPr>
        <w:t>Parágrafo 2°.</w:t>
      </w:r>
      <w:r w:rsidRPr="003836A1">
        <w:rPr>
          <w:rFonts w:ascii="Arial" w:eastAsia="Arial" w:hAnsi="Arial" w:cs="Arial"/>
          <w:i/>
        </w:rPr>
        <w:t> No constituyen actos sexuales o de exhibicionismo los besos o caricias que las personas, sin importar su género, color de piel, orientación sexual o identidad de género, manifiesten como expresiones de cariño, en ejercicio de su derecho al libre desarrollo de la personalidad.</w:t>
      </w:r>
    </w:p>
    <w:p w14:paraId="154A7D80" w14:textId="77777777" w:rsidR="00610266" w:rsidRPr="003836A1" w:rsidRDefault="00610266" w:rsidP="003836A1">
      <w:pPr>
        <w:shd w:val="clear" w:color="auto" w:fill="FFFFFF"/>
        <w:ind w:left="426"/>
        <w:jc w:val="both"/>
        <w:rPr>
          <w:rFonts w:ascii="Arial" w:eastAsia="Arial" w:hAnsi="Arial" w:cs="Arial"/>
          <w:i/>
        </w:rPr>
      </w:pPr>
    </w:p>
    <w:p w14:paraId="154A7D81" w14:textId="77777777" w:rsidR="00610266" w:rsidRPr="003836A1" w:rsidRDefault="00A44017" w:rsidP="003836A1">
      <w:pPr>
        <w:shd w:val="clear" w:color="auto" w:fill="FFFFFF"/>
        <w:ind w:left="426"/>
        <w:jc w:val="both"/>
        <w:rPr>
          <w:rFonts w:ascii="Arial" w:eastAsia="Arial" w:hAnsi="Arial" w:cs="Arial"/>
          <w:i/>
        </w:rPr>
      </w:pPr>
      <w:hyperlink r:id="rId19">
        <w:r w:rsidR="00F95AB8" w:rsidRPr="003836A1">
          <w:rPr>
            <w:rFonts w:ascii="Arial" w:eastAsia="Arial" w:hAnsi="Arial" w:cs="Arial"/>
            <w:i/>
            <w:u w:val="single"/>
          </w:rPr>
          <w:t>Ver Decreto Nacional 2114 de 2023.</w:t>
        </w:r>
      </w:hyperlink>
    </w:p>
    <w:p w14:paraId="154A7D82" w14:textId="77777777" w:rsidR="00610266" w:rsidRPr="003836A1" w:rsidRDefault="00610266" w:rsidP="003836A1">
      <w:pPr>
        <w:rPr>
          <w:rFonts w:ascii="Arial" w:eastAsia="Times New Roman" w:hAnsi="Arial" w:cs="Arial"/>
        </w:rPr>
      </w:pPr>
    </w:p>
    <w:p w14:paraId="154A7D83" w14:textId="77777777" w:rsidR="00610266" w:rsidRPr="003836A1" w:rsidRDefault="00F95AB8" w:rsidP="003836A1">
      <w:pPr>
        <w:widowControl/>
        <w:pBdr>
          <w:top w:val="nil"/>
          <w:left w:val="nil"/>
          <w:bottom w:val="nil"/>
          <w:right w:val="nil"/>
          <w:between w:val="nil"/>
        </w:pBdr>
        <w:ind w:left="425"/>
        <w:jc w:val="both"/>
        <w:rPr>
          <w:rFonts w:ascii="Arial" w:eastAsia="Arial" w:hAnsi="Arial" w:cs="Arial"/>
        </w:rPr>
      </w:pPr>
      <w:bookmarkStart w:id="12" w:name="bookmark=id.17dp8vu" w:colFirst="0" w:colLast="0"/>
      <w:bookmarkEnd w:id="12"/>
      <w:r w:rsidRPr="003836A1">
        <w:rPr>
          <w:rFonts w:ascii="Arial" w:eastAsia="Arial" w:hAnsi="Arial" w:cs="Arial"/>
          <w:b/>
          <w:i/>
        </w:rPr>
        <w:t>Artículo 34.</w:t>
      </w:r>
      <w:r w:rsidRPr="003836A1">
        <w:rPr>
          <w:rFonts w:ascii="Arial" w:eastAsia="Arial" w:hAnsi="Arial" w:cs="Arial"/>
          <w:b/>
        </w:rPr>
        <w:t xml:space="preserve"> </w:t>
      </w:r>
      <w:r w:rsidRPr="003836A1">
        <w:rPr>
          <w:rFonts w:ascii="Arial" w:eastAsia="Arial" w:hAnsi="Arial" w:cs="Arial"/>
          <w:b/>
          <w:i/>
        </w:rPr>
        <w:t>Comportamientos que afectan la convivencia en los establecimientos educativos relacionados con consumo de sustancias.</w:t>
      </w:r>
      <w:r w:rsidRPr="003836A1">
        <w:rPr>
          <w:rFonts w:ascii="Arial" w:eastAsia="Arial" w:hAnsi="Arial" w:cs="Arial"/>
        </w:rPr>
        <w:t> &lt;Artículo corregido por el artículo </w:t>
      </w:r>
      <w:hyperlink r:id="rId20" w:anchor="3">
        <w:r w:rsidRPr="003836A1">
          <w:rPr>
            <w:rFonts w:ascii="Arial" w:eastAsia="Arial" w:hAnsi="Arial" w:cs="Arial"/>
            <w:u w:val="single"/>
          </w:rPr>
          <w:t>3</w:t>
        </w:r>
      </w:hyperlink>
      <w:r w:rsidRPr="003836A1">
        <w:rPr>
          <w:rFonts w:ascii="Arial" w:eastAsia="Arial" w:hAnsi="Arial" w:cs="Arial"/>
        </w:rPr>
        <w:t> del Decreto 555 de 2017. El nuevo texto es el siguiente:&gt; Los siguientes comportamientos afectan la convivencia en los establecimientos educativos y por lo tanto no deben efectuarse:</w:t>
      </w:r>
    </w:p>
    <w:p w14:paraId="154A7D84" w14:textId="77777777" w:rsidR="00610266" w:rsidRPr="003836A1" w:rsidRDefault="00610266" w:rsidP="003836A1">
      <w:pPr>
        <w:widowControl/>
        <w:pBdr>
          <w:top w:val="nil"/>
          <w:left w:val="nil"/>
          <w:bottom w:val="nil"/>
          <w:right w:val="nil"/>
          <w:between w:val="nil"/>
        </w:pBdr>
        <w:ind w:left="425"/>
        <w:jc w:val="both"/>
        <w:rPr>
          <w:rFonts w:ascii="Arial" w:eastAsia="Arial" w:hAnsi="Arial" w:cs="Arial"/>
        </w:rPr>
      </w:pPr>
    </w:p>
    <w:p w14:paraId="154A7D85" w14:textId="77777777" w:rsidR="00610266" w:rsidRPr="003836A1" w:rsidRDefault="00F95AB8" w:rsidP="003836A1">
      <w:pPr>
        <w:widowControl/>
        <w:pBdr>
          <w:top w:val="nil"/>
          <w:left w:val="nil"/>
          <w:bottom w:val="nil"/>
          <w:right w:val="nil"/>
          <w:between w:val="nil"/>
        </w:pBdr>
        <w:ind w:left="425"/>
        <w:jc w:val="both"/>
        <w:rPr>
          <w:rFonts w:ascii="Arial" w:eastAsia="Arial" w:hAnsi="Arial" w:cs="Arial"/>
        </w:rPr>
      </w:pPr>
      <w:r w:rsidRPr="003836A1">
        <w:rPr>
          <w:rFonts w:ascii="Arial" w:eastAsia="Arial" w:hAnsi="Arial" w:cs="Arial"/>
        </w:rPr>
        <w:t>1. Consumir bebidas alcohólicas, drogas o sustancias prohibidas, dentro de la institución o centro educativo.</w:t>
      </w:r>
    </w:p>
    <w:p w14:paraId="154A7D86" w14:textId="77777777" w:rsidR="00610266" w:rsidRPr="003836A1" w:rsidRDefault="00F95AB8" w:rsidP="003836A1">
      <w:pPr>
        <w:widowControl/>
        <w:pBdr>
          <w:top w:val="nil"/>
          <w:left w:val="nil"/>
          <w:bottom w:val="nil"/>
          <w:right w:val="nil"/>
          <w:between w:val="nil"/>
        </w:pBdr>
        <w:ind w:left="425"/>
        <w:jc w:val="both"/>
        <w:rPr>
          <w:rFonts w:ascii="Arial" w:eastAsia="Arial" w:hAnsi="Arial" w:cs="Arial"/>
        </w:rPr>
      </w:pPr>
      <w:r w:rsidRPr="003836A1">
        <w:rPr>
          <w:rFonts w:ascii="Arial" w:eastAsia="Arial" w:hAnsi="Arial" w:cs="Arial"/>
        </w:rPr>
        <w:t>2. Tener, almacenar, facilitar, distribuir, o expender bebidas alcohólicas, drogas o sustancias prohibidas dentro de la institución o centro educativo.</w:t>
      </w:r>
    </w:p>
    <w:p w14:paraId="154A7D87" w14:textId="77777777" w:rsidR="00610266" w:rsidRPr="003836A1" w:rsidRDefault="00F95AB8" w:rsidP="003836A1">
      <w:pPr>
        <w:widowControl/>
        <w:pBdr>
          <w:top w:val="nil"/>
          <w:left w:val="nil"/>
          <w:bottom w:val="nil"/>
          <w:right w:val="nil"/>
          <w:between w:val="nil"/>
        </w:pBdr>
        <w:ind w:left="425"/>
        <w:jc w:val="both"/>
        <w:rPr>
          <w:rFonts w:ascii="Arial" w:eastAsia="Arial" w:hAnsi="Arial" w:cs="Arial"/>
        </w:rPr>
      </w:pPr>
      <w:r w:rsidRPr="003836A1">
        <w:rPr>
          <w:rFonts w:ascii="Arial" w:eastAsia="Arial" w:hAnsi="Arial" w:cs="Arial"/>
        </w:rPr>
        <w:t>3. &lt;Numeral modificado por el artículo </w:t>
      </w:r>
      <w:hyperlink r:id="rId21" w:anchor="2">
        <w:r w:rsidRPr="003836A1">
          <w:rPr>
            <w:rFonts w:ascii="Arial" w:eastAsia="Arial" w:hAnsi="Arial" w:cs="Arial"/>
            <w:u w:val="single"/>
          </w:rPr>
          <w:t>2</w:t>
        </w:r>
      </w:hyperlink>
      <w:r w:rsidRPr="003836A1">
        <w:rPr>
          <w:rFonts w:ascii="Arial" w:eastAsia="Arial" w:hAnsi="Arial" w:cs="Arial"/>
        </w:rPr>
        <w:t> de la Ley 2000 de 2019. El nuevo texto es el siguiente:&gt; Consumir bebidas alcohólicas, portar o consumir sustancias psicoactivas - incluso la dosis personal- en el espacio público o lugares abiertos al público ubicados dentro del área circundante a la institución o centro educativo de conformidad con el perímetro establecido por el alcalde y la reglamentación de la que habla el parágrafo 3 del presente artículo.</w:t>
      </w:r>
    </w:p>
    <w:p w14:paraId="154A7D88" w14:textId="77777777" w:rsidR="00610266" w:rsidRPr="003836A1" w:rsidRDefault="00F95AB8" w:rsidP="003836A1">
      <w:pPr>
        <w:widowControl/>
        <w:pBdr>
          <w:top w:val="nil"/>
          <w:left w:val="nil"/>
          <w:bottom w:val="nil"/>
          <w:right w:val="nil"/>
          <w:between w:val="nil"/>
        </w:pBdr>
        <w:ind w:left="425"/>
        <w:jc w:val="both"/>
        <w:rPr>
          <w:rFonts w:ascii="Arial" w:eastAsia="Arial" w:hAnsi="Arial" w:cs="Arial"/>
        </w:rPr>
      </w:pPr>
      <w:r w:rsidRPr="003836A1">
        <w:rPr>
          <w:rFonts w:ascii="Arial" w:eastAsia="Arial" w:hAnsi="Arial" w:cs="Arial"/>
        </w:rPr>
        <w:t>4. Tener, almacenar, facilitar, distribuir, o expender bebidas alcohólicas, sustancias prohibidas en el espacio público o lugares abiertos al público dentro del perímetro circundante de conformidad con lo establecido en el artículo </w:t>
      </w:r>
      <w:hyperlink r:id="rId22" w:anchor="84">
        <w:r w:rsidRPr="003836A1">
          <w:rPr>
            <w:rFonts w:ascii="Arial" w:eastAsia="Arial" w:hAnsi="Arial" w:cs="Arial"/>
            <w:u w:val="single"/>
          </w:rPr>
          <w:t>84</w:t>
        </w:r>
      </w:hyperlink>
      <w:r w:rsidRPr="003836A1">
        <w:rPr>
          <w:rFonts w:ascii="Arial" w:eastAsia="Arial" w:hAnsi="Arial" w:cs="Arial"/>
        </w:rPr>
        <w:t> de la presente ley.</w:t>
      </w:r>
    </w:p>
    <w:p w14:paraId="154A7D89" w14:textId="77777777" w:rsidR="00610266" w:rsidRPr="003836A1" w:rsidRDefault="00F95AB8" w:rsidP="003836A1">
      <w:pPr>
        <w:widowControl/>
        <w:pBdr>
          <w:top w:val="nil"/>
          <w:left w:val="nil"/>
          <w:bottom w:val="nil"/>
          <w:right w:val="nil"/>
          <w:between w:val="nil"/>
        </w:pBdr>
        <w:ind w:left="425"/>
        <w:jc w:val="both"/>
        <w:rPr>
          <w:rFonts w:ascii="Arial" w:eastAsia="Arial" w:hAnsi="Arial" w:cs="Arial"/>
        </w:rPr>
      </w:pPr>
      <w:r w:rsidRPr="003836A1">
        <w:rPr>
          <w:rFonts w:ascii="Arial" w:eastAsia="Arial" w:hAnsi="Arial" w:cs="Arial"/>
        </w:rPr>
        <w:t>5. Destruir, averiar o deteriorar bienes dentro del área circundante de la institución o centro educativo.</w:t>
      </w:r>
    </w:p>
    <w:p w14:paraId="154A7D8A" w14:textId="77777777" w:rsidR="00610266" w:rsidRPr="003836A1" w:rsidRDefault="00F95AB8" w:rsidP="003836A1">
      <w:pPr>
        <w:widowControl/>
        <w:pBdr>
          <w:top w:val="nil"/>
          <w:left w:val="nil"/>
          <w:bottom w:val="nil"/>
          <w:right w:val="nil"/>
          <w:between w:val="nil"/>
        </w:pBdr>
        <w:ind w:left="425"/>
        <w:jc w:val="both"/>
        <w:rPr>
          <w:rFonts w:ascii="Arial" w:eastAsia="Arial" w:hAnsi="Arial" w:cs="Arial"/>
        </w:rPr>
      </w:pPr>
      <w:r w:rsidRPr="003836A1">
        <w:rPr>
          <w:rFonts w:ascii="Arial" w:eastAsia="Arial" w:hAnsi="Arial" w:cs="Arial"/>
        </w:rPr>
        <w:t>6. &lt;Numeral adicionado por el artículo </w:t>
      </w:r>
      <w:hyperlink r:id="rId23" w:anchor="2">
        <w:r w:rsidRPr="003836A1">
          <w:rPr>
            <w:rFonts w:ascii="Arial" w:eastAsia="Arial" w:hAnsi="Arial" w:cs="Arial"/>
            <w:u w:val="single"/>
          </w:rPr>
          <w:t>2</w:t>
        </w:r>
      </w:hyperlink>
      <w:r w:rsidRPr="003836A1">
        <w:rPr>
          <w:rFonts w:ascii="Arial" w:eastAsia="Arial" w:hAnsi="Arial" w:cs="Arial"/>
        </w:rPr>
        <w:t> de la Ley 2000 de 2019. El nuevo texto es el siguiente:&gt; Facilitar o distribuir sustancias psicoactivas –incluso la dosis personal– en el área circundante a las instituciones o centros educativos, de conformidad con el perímetro establecido por el alcalde y la reglamentación de la que habla el parágrafo 3 del presente artículo.</w:t>
      </w:r>
    </w:p>
    <w:p w14:paraId="154A7D8B" w14:textId="77777777" w:rsidR="00610266" w:rsidRPr="003836A1" w:rsidRDefault="00610266" w:rsidP="003836A1">
      <w:pPr>
        <w:widowControl/>
        <w:pBdr>
          <w:top w:val="nil"/>
          <w:left w:val="nil"/>
          <w:bottom w:val="nil"/>
          <w:right w:val="nil"/>
          <w:between w:val="nil"/>
        </w:pBdr>
        <w:ind w:left="425"/>
        <w:jc w:val="both"/>
        <w:rPr>
          <w:rFonts w:ascii="Arial" w:eastAsia="Arial" w:hAnsi="Arial" w:cs="Arial"/>
        </w:rPr>
      </w:pPr>
    </w:p>
    <w:p w14:paraId="154A7D8C" w14:textId="77777777" w:rsidR="00610266" w:rsidRPr="003836A1" w:rsidRDefault="00F95AB8" w:rsidP="003836A1">
      <w:pPr>
        <w:widowControl/>
        <w:pBdr>
          <w:top w:val="nil"/>
          <w:left w:val="nil"/>
          <w:bottom w:val="nil"/>
          <w:right w:val="nil"/>
          <w:between w:val="nil"/>
        </w:pBdr>
        <w:ind w:left="425"/>
        <w:jc w:val="both"/>
        <w:rPr>
          <w:rFonts w:ascii="Arial" w:eastAsia="Arial" w:hAnsi="Arial" w:cs="Arial"/>
        </w:rPr>
      </w:pPr>
      <w:r w:rsidRPr="003836A1">
        <w:rPr>
          <w:rFonts w:ascii="Arial" w:eastAsia="Arial" w:hAnsi="Arial" w:cs="Arial"/>
          <w:b/>
        </w:rPr>
        <w:t>PARÁGRAFO 1o.</w:t>
      </w:r>
      <w:r w:rsidRPr="003836A1">
        <w:rPr>
          <w:rFonts w:ascii="Arial" w:eastAsia="Arial" w:hAnsi="Arial" w:cs="Arial"/>
        </w:rPr>
        <w:t> &lt;Parágrafo modificado por el artículo </w:t>
      </w:r>
      <w:hyperlink r:id="rId24" w:anchor="2">
        <w:r w:rsidRPr="003836A1">
          <w:rPr>
            <w:rFonts w:ascii="Arial" w:eastAsia="Arial" w:hAnsi="Arial" w:cs="Arial"/>
            <w:u w:val="single"/>
          </w:rPr>
          <w:t>2</w:t>
        </w:r>
      </w:hyperlink>
      <w:r w:rsidRPr="003836A1">
        <w:rPr>
          <w:rFonts w:ascii="Arial" w:eastAsia="Arial" w:hAnsi="Arial" w:cs="Arial"/>
        </w:rPr>
        <w:t> de la Ley 2000 de 2019. El nuevo texto es el siguiente:&gt; Los niños, niñas y adolescentes que cometan alguno de los comportamientos señalados en los numerales anteriores serán objeto de las medidas dispuestas en la Ley </w:t>
      </w:r>
      <w:hyperlink r:id="rId25" w:anchor="INICIO">
        <w:r w:rsidRPr="003836A1">
          <w:rPr>
            <w:rFonts w:ascii="Arial" w:eastAsia="Arial" w:hAnsi="Arial" w:cs="Arial"/>
            <w:u w:val="single"/>
          </w:rPr>
          <w:t>1098</w:t>
        </w:r>
      </w:hyperlink>
      <w:r w:rsidRPr="003836A1">
        <w:rPr>
          <w:rFonts w:ascii="Arial" w:eastAsia="Arial" w:hAnsi="Arial" w:cs="Arial"/>
        </w:rPr>
        <w:t> de 2006 y demás normas vigentes en la materia.</w:t>
      </w:r>
    </w:p>
    <w:p w14:paraId="154A7D8D" w14:textId="77777777" w:rsidR="00610266" w:rsidRPr="003836A1" w:rsidRDefault="00610266" w:rsidP="003836A1">
      <w:pPr>
        <w:widowControl/>
        <w:pBdr>
          <w:top w:val="nil"/>
          <w:left w:val="nil"/>
          <w:bottom w:val="nil"/>
          <w:right w:val="nil"/>
          <w:between w:val="nil"/>
        </w:pBdr>
        <w:ind w:left="425"/>
        <w:jc w:val="both"/>
        <w:rPr>
          <w:rFonts w:ascii="Arial" w:eastAsia="Arial" w:hAnsi="Arial" w:cs="Arial"/>
        </w:rPr>
      </w:pPr>
    </w:p>
    <w:p w14:paraId="154A7D8E" w14:textId="77777777" w:rsidR="00610266" w:rsidRPr="003836A1" w:rsidRDefault="00F95AB8" w:rsidP="003836A1">
      <w:pPr>
        <w:widowControl/>
        <w:pBdr>
          <w:top w:val="nil"/>
          <w:left w:val="nil"/>
          <w:bottom w:val="nil"/>
          <w:right w:val="nil"/>
          <w:between w:val="nil"/>
        </w:pBdr>
        <w:ind w:left="425"/>
        <w:jc w:val="both"/>
        <w:rPr>
          <w:rFonts w:ascii="Arial" w:eastAsia="Arial" w:hAnsi="Arial" w:cs="Arial"/>
        </w:rPr>
      </w:pPr>
      <w:r w:rsidRPr="003836A1">
        <w:rPr>
          <w:rFonts w:ascii="Arial" w:eastAsia="Arial" w:hAnsi="Arial" w:cs="Arial"/>
        </w:rPr>
        <w:t>También procederá la medida de destrucción del bien, cuando haya lugar.</w:t>
      </w:r>
    </w:p>
    <w:p w14:paraId="154A7D8F" w14:textId="77777777" w:rsidR="00610266" w:rsidRPr="003836A1" w:rsidRDefault="00610266" w:rsidP="003836A1">
      <w:pPr>
        <w:widowControl/>
        <w:pBdr>
          <w:top w:val="nil"/>
          <w:left w:val="nil"/>
          <w:bottom w:val="nil"/>
          <w:right w:val="nil"/>
          <w:between w:val="nil"/>
        </w:pBdr>
        <w:ind w:left="425"/>
        <w:jc w:val="both"/>
        <w:rPr>
          <w:rFonts w:ascii="Arial" w:eastAsia="Arial" w:hAnsi="Arial" w:cs="Arial"/>
        </w:rPr>
      </w:pPr>
    </w:p>
    <w:p w14:paraId="154A7D90" w14:textId="77777777" w:rsidR="00610266" w:rsidRPr="003836A1" w:rsidRDefault="00F95AB8" w:rsidP="003836A1">
      <w:pPr>
        <w:widowControl/>
        <w:pBdr>
          <w:top w:val="nil"/>
          <w:left w:val="nil"/>
          <w:bottom w:val="nil"/>
          <w:right w:val="nil"/>
          <w:between w:val="nil"/>
        </w:pBdr>
        <w:ind w:left="425"/>
        <w:jc w:val="both"/>
        <w:rPr>
          <w:rFonts w:ascii="Arial" w:eastAsia="Arial" w:hAnsi="Arial" w:cs="Arial"/>
        </w:rPr>
      </w:pPr>
      <w:r w:rsidRPr="003836A1">
        <w:rPr>
          <w:rFonts w:ascii="Arial" w:eastAsia="Arial" w:hAnsi="Arial" w:cs="Arial"/>
          <w:b/>
        </w:rPr>
        <w:t>PARÁGRAFO 2o.</w:t>
      </w:r>
      <w:r w:rsidRPr="003836A1">
        <w:rPr>
          <w:rFonts w:ascii="Arial" w:eastAsia="Arial" w:hAnsi="Arial" w:cs="Arial"/>
        </w:rPr>
        <w:t> &lt;Parágrafo modificado por el artículo </w:t>
      </w:r>
      <w:hyperlink r:id="rId26" w:anchor="2">
        <w:r w:rsidRPr="003836A1">
          <w:rPr>
            <w:rFonts w:ascii="Arial" w:eastAsia="Arial" w:hAnsi="Arial" w:cs="Arial"/>
            <w:u w:val="single"/>
          </w:rPr>
          <w:t>2</w:t>
        </w:r>
      </w:hyperlink>
      <w:r w:rsidRPr="003836A1">
        <w:rPr>
          <w:rFonts w:ascii="Arial" w:eastAsia="Arial" w:hAnsi="Arial" w:cs="Arial"/>
        </w:rPr>
        <w:t> de la Ley 2000 de 2019. El nuevo texto es el siguiente:&gt; La persona mayor de edad que incurra en uno o más de los comportamientos antes señalados, será objeto de la aplicación de las siguientes medidas correctivas, sin perjuicio de lo establecido en los reglamentos internos de cada establecimiento educativo ni de la responsabilidad penal que se genere bajo el Título </w:t>
      </w:r>
      <w:hyperlink r:id="rId27" w:anchor="Nivel076">
        <w:r w:rsidRPr="003836A1">
          <w:rPr>
            <w:rFonts w:ascii="Arial" w:eastAsia="Arial" w:hAnsi="Arial" w:cs="Arial"/>
            <w:u w:val="single"/>
          </w:rPr>
          <w:t>XIII</w:t>
        </w:r>
      </w:hyperlink>
      <w:r w:rsidRPr="003836A1">
        <w:rPr>
          <w:rFonts w:ascii="Arial" w:eastAsia="Arial" w:hAnsi="Arial" w:cs="Arial"/>
        </w:rPr>
        <w:t> del Código Penal.</w:t>
      </w:r>
    </w:p>
    <w:p w14:paraId="154A7D91" w14:textId="77777777" w:rsidR="00610266" w:rsidRPr="003836A1" w:rsidRDefault="00610266" w:rsidP="003836A1">
      <w:pPr>
        <w:widowControl/>
        <w:pBdr>
          <w:top w:val="nil"/>
          <w:left w:val="nil"/>
          <w:bottom w:val="nil"/>
          <w:right w:val="nil"/>
          <w:between w:val="nil"/>
        </w:pBdr>
        <w:ind w:left="425"/>
        <w:jc w:val="both"/>
        <w:rPr>
          <w:rFonts w:ascii="Arial" w:eastAsia="Arial" w:hAnsi="Arial" w:cs="Arial"/>
        </w:rPr>
      </w:pPr>
    </w:p>
    <w:tbl>
      <w:tblPr>
        <w:tblStyle w:val="a1"/>
        <w:tblW w:w="916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786"/>
        <w:gridCol w:w="6381"/>
      </w:tblGrid>
      <w:tr w:rsidR="003836A1" w:rsidRPr="003836A1" w14:paraId="154A7D94" w14:textId="77777777" w:rsidTr="001D4849">
        <w:tc>
          <w:tcPr>
            <w:tcW w:w="2786" w:type="dxa"/>
          </w:tcPr>
          <w:p w14:paraId="154A7D92" w14:textId="77777777" w:rsidR="00610266" w:rsidRPr="003836A1" w:rsidRDefault="00F95AB8" w:rsidP="003836A1">
            <w:pPr>
              <w:ind w:left="425"/>
              <w:jc w:val="center"/>
              <w:rPr>
                <w:rFonts w:ascii="Arial" w:eastAsia="Arial" w:hAnsi="Arial" w:cs="Arial"/>
              </w:rPr>
            </w:pPr>
            <w:r w:rsidRPr="003836A1">
              <w:rPr>
                <w:rFonts w:ascii="Arial" w:eastAsia="Arial" w:hAnsi="Arial" w:cs="Arial"/>
                <w:b/>
              </w:rPr>
              <w:t>COMPORTAMIENTOS</w:t>
            </w:r>
          </w:p>
        </w:tc>
        <w:tc>
          <w:tcPr>
            <w:tcW w:w="6381" w:type="dxa"/>
          </w:tcPr>
          <w:p w14:paraId="154A7D93" w14:textId="77777777" w:rsidR="00610266" w:rsidRPr="003836A1" w:rsidRDefault="00F95AB8" w:rsidP="003836A1">
            <w:pPr>
              <w:ind w:left="425"/>
              <w:jc w:val="center"/>
              <w:rPr>
                <w:rFonts w:ascii="Arial" w:eastAsia="Arial" w:hAnsi="Arial" w:cs="Arial"/>
              </w:rPr>
            </w:pPr>
            <w:r w:rsidRPr="003836A1">
              <w:rPr>
                <w:rFonts w:ascii="Arial" w:eastAsia="Arial" w:hAnsi="Arial" w:cs="Arial"/>
                <w:b/>
              </w:rPr>
              <w:t>MEDIDA CORRECTIVA A APLICAR</w:t>
            </w:r>
          </w:p>
        </w:tc>
      </w:tr>
      <w:tr w:rsidR="003836A1" w:rsidRPr="003836A1" w14:paraId="154A7D97" w14:textId="77777777" w:rsidTr="001D4849">
        <w:tc>
          <w:tcPr>
            <w:tcW w:w="2786" w:type="dxa"/>
          </w:tcPr>
          <w:p w14:paraId="154A7D95" w14:textId="77777777" w:rsidR="00610266" w:rsidRPr="003836A1" w:rsidRDefault="00F95AB8" w:rsidP="003836A1">
            <w:pPr>
              <w:ind w:left="425"/>
              <w:jc w:val="both"/>
              <w:rPr>
                <w:rFonts w:ascii="Arial" w:eastAsia="Arial" w:hAnsi="Arial" w:cs="Arial"/>
              </w:rPr>
            </w:pPr>
            <w:r w:rsidRPr="003836A1">
              <w:rPr>
                <w:rFonts w:ascii="Arial" w:eastAsia="Arial" w:hAnsi="Arial" w:cs="Arial"/>
              </w:rPr>
              <w:t>Numeral 1</w:t>
            </w:r>
          </w:p>
        </w:tc>
        <w:tc>
          <w:tcPr>
            <w:tcW w:w="6381" w:type="dxa"/>
          </w:tcPr>
          <w:p w14:paraId="154A7D96" w14:textId="77777777" w:rsidR="00610266" w:rsidRPr="003836A1" w:rsidRDefault="00F95AB8" w:rsidP="003836A1">
            <w:pPr>
              <w:ind w:left="425"/>
              <w:jc w:val="both"/>
              <w:rPr>
                <w:rFonts w:ascii="Arial" w:eastAsia="Arial" w:hAnsi="Arial" w:cs="Arial"/>
              </w:rPr>
            </w:pPr>
            <w:r w:rsidRPr="003836A1">
              <w:rPr>
                <w:rFonts w:ascii="Arial" w:eastAsia="Arial" w:hAnsi="Arial" w:cs="Arial"/>
              </w:rPr>
              <w:t>Multa General tipo 3; Destrucción de bien.</w:t>
            </w:r>
          </w:p>
        </w:tc>
      </w:tr>
      <w:tr w:rsidR="003836A1" w:rsidRPr="003836A1" w14:paraId="154A7D9A" w14:textId="77777777" w:rsidTr="001D4849">
        <w:tc>
          <w:tcPr>
            <w:tcW w:w="2786" w:type="dxa"/>
          </w:tcPr>
          <w:p w14:paraId="154A7D98" w14:textId="77777777" w:rsidR="00610266" w:rsidRPr="003836A1" w:rsidRDefault="00F95AB8" w:rsidP="003836A1">
            <w:pPr>
              <w:ind w:left="425"/>
              <w:jc w:val="both"/>
              <w:rPr>
                <w:rFonts w:ascii="Arial" w:eastAsia="Arial" w:hAnsi="Arial" w:cs="Arial"/>
              </w:rPr>
            </w:pPr>
            <w:r w:rsidRPr="003836A1">
              <w:rPr>
                <w:rFonts w:ascii="Arial" w:eastAsia="Arial" w:hAnsi="Arial" w:cs="Arial"/>
              </w:rPr>
              <w:t>Numeral 2</w:t>
            </w:r>
          </w:p>
        </w:tc>
        <w:tc>
          <w:tcPr>
            <w:tcW w:w="6381" w:type="dxa"/>
          </w:tcPr>
          <w:p w14:paraId="154A7D99" w14:textId="77777777" w:rsidR="00610266" w:rsidRPr="003836A1" w:rsidRDefault="00F95AB8" w:rsidP="003836A1">
            <w:pPr>
              <w:ind w:left="425"/>
              <w:jc w:val="both"/>
              <w:rPr>
                <w:rFonts w:ascii="Arial" w:eastAsia="Arial" w:hAnsi="Arial" w:cs="Arial"/>
              </w:rPr>
            </w:pPr>
            <w:r w:rsidRPr="003836A1">
              <w:rPr>
                <w:rFonts w:ascii="Arial" w:eastAsia="Arial" w:hAnsi="Arial" w:cs="Arial"/>
              </w:rPr>
              <w:t>Multa General tipo 4; Destrucción de bien.</w:t>
            </w:r>
          </w:p>
        </w:tc>
      </w:tr>
      <w:tr w:rsidR="003836A1" w:rsidRPr="003836A1" w14:paraId="154A7D9D" w14:textId="77777777" w:rsidTr="001D4849">
        <w:tc>
          <w:tcPr>
            <w:tcW w:w="2786" w:type="dxa"/>
          </w:tcPr>
          <w:p w14:paraId="154A7D9B" w14:textId="77777777" w:rsidR="00610266" w:rsidRPr="003836A1" w:rsidRDefault="00F95AB8" w:rsidP="003836A1">
            <w:pPr>
              <w:ind w:left="425"/>
              <w:jc w:val="both"/>
              <w:rPr>
                <w:rFonts w:ascii="Arial" w:eastAsia="Arial" w:hAnsi="Arial" w:cs="Arial"/>
              </w:rPr>
            </w:pPr>
            <w:r w:rsidRPr="003836A1">
              <w:rPr>
                <w:rFonts w:ascii="Arial" w:eastAsia="Arial" w:hAnsi="Arial" w:cs="Arial"/>
              </w:rPr>
              <w:t>Numeral 3</w:t>
            </w:r>
          </w:p>
        </w:tc>
        <w:tc>
          <w:tcPr>
            <w:tcW w:w="6381" w:type="dxa"/>
          </w:tcPr>
          <w:p w14:paraId="154A7D9C" w14:textId="77777777" w:rsidR="00610266" w:rsidRPr="003836A1" w:rsidRDefault="00F95AB8" w:rsidP="003836A1">
            <w:pPr>
              <w:ind w:left="425"/>
              <w:jc w:val="both"/>
              <w:rPr>
                <w:rFonts w:ascii="Arial" w:eastAsia="Arial" w:hAnsi="Arial" w:cs="Arial"/>
              </w:rPr>
            </w:pPr>
            <w:r w:rsidRPr="003836A1">
              <w:rPr>
                <w:rFonts w:ascii="Arial" w:eastAsia="Arial" w:hAnsi="Arial" w:cs="Arial"/>
              </w:rPr>
              <w:t>Multa General tipo 4; destrucción del bien.</w:t>
            </w:r>
          </w:p>
        </w:tc>
      </w:tr>
      <w:tr w:rsidR="003836A1" w:rsidRPr="003836A1" w14:paraId="154A7DA0" w14:textId="77777777" w:rsidTr="001D4849">
        <w:tc>
          <w:tcPr>
            <w:tcW w:w="2786" w:type="dxa"/>
          </w:tcPr>
          <w:p w14:paraId="154A7D9E" w14:textId="77777777" w:rsidR="00610266" w:rsidRPr="003836A1" w:rsidRDefault="00F95AB8" w:rsidP="003836A1">
            <w:pPr>
              <w:ind w:left="425"/>
              <w:jc w:val="both"/>
              <w:rPr>
                <w:rFonts w:ascii="Arial" w:eastAsia="Arial" w:hAnsi="Arial" w:cs="Arial"/>
              </w:rPr>
            </w:pPr>
            <w:r w:rsidRPr="003836A1">
              <w:rPr>
                <w:rFonts w:ascii="Arial" w:eastAsia="Arial" w:hAnsi="Arial" w:cs="Arial"/>
              </w:rPr>
              <w:t>Numeral 4</w:t>
            </w:r>
          </w:p>
        </w:tc>
        <w:tc>
          <w:tcPr>
            <w:tcW w:w="6381" w:type="dxa"/>
          </w:tcPr>
          <w:p w14:paraId="154A7D9F" w14:textId="77777777" w:rsidR="00610266" w:rsidRPr="003836A1" w:rsidRDefault="00F95AB8" w:rsidP="003836A1">
            <w:pPr>
              <w:ind w:left="425"/>
              <w:jc w:val="both"/>
              <w:rPr>
                <w:rFonts w:ascii="Arial" w:eastAsia="Arial" w:hAnsi="Arial" w:cs="Arial"/>
              </w:rPr>
            </w:pPr>
            <w:r w:rsidRPr="003836A1">
              <w:rPr>
                <w:rFonts w:ascii="Arial" w:eastAsia="Arial" w:hAnsi="Arial" w:cs="Arial"/>
              </w:rPr>
              <w:t>Multa General tipo 4; Destrucción de bien; Suspensión temporal de actividad.</w:t>
            </w:r>
          </w:p>
        </w:tc>
      </w:tr>
      <w:tr w:rsidR="003836A1" w:rsidRPr="003836A1" w14:paraId="154A7DA3" w14:textId="77777777" w:rsidTr="001D4849">
        <w:tc>
          <w:tcPr>
            <w:tcW w:w="2786" w:type="dxa"/>
          </w:tcPr>
          <w:p w14:paraId="154A7DA1" w14:textId="77777777" w:rsidR="00610266" w:rsidRPr="003836A1" w:rsidRDefault="00F95AB8" w:rsidP="003836A1">
            <w:pPr>
              <w:ind w:left="425"/>
              <w:jc w:val="both"/>
              <w:rPr>
                <w:rFonts w:ascii="Arial" w:eastAsia="Arial" w:hAnsi="Arial" w:cs="Arial"/>
              </w:rPr>
            </w:pPr>
            <w:r w:rsidRPr="003836A1">
              <w:rPr>
                <w:rFonts w:ascii="Arial" w:eastAsia="Arial" w:hAnsi="Arial" w:cs="Arial"/>
              </w:rPr>
              <w:t>Numeral 5</w:t>
            </w:r>
          </w:p>
        </w:tc>
        <w:tc>
          <w:tcPr>
            <w:tcW w:w="6381" w:type="dxa"/>
          </w:tcPr>
          <w:p w14:paraId="154A7DA2" w14:textId="77777777" w:rsidR="00610266" w:rsidRPr="003836A1" w:rsidRDefault="00F95AB8" w:rsidP="003836A1">
            <w:pPr>
              <w:ind w:left="425"/>
              <w:jc w:val="both"/>
              <w:rPr>
                <w:rFonts w:ascii="Arial" w:eastAsia="Arial" w:hAnsi="Arial" w:cs="Arial"/>
              </w:rPr>
            </w:pPr>
            <w:r w:rsidRPr="003836A1">
              <w:rPr>
                <w:rFonts w:ascii="Arial" w:eastAsia="Arial" w:hAnsi="Arial" w:cs="Arial"/>
              </w:rPr>
              <w:t>Multa General tipo 2; Reparación de daños materiales de muebles o inmuebles.</w:t>
            </w:r>
          </w:p>
        </w:tc>
      </w:tr>
      <w:tr w:rsidR="00610266" w:rsidRPr="003836A1" w14:paraId="154A7DA6" w14:textId="77777777" w:rsidTr="001D4849">
        <w:tc>
          <w:tcPr>
            <w:tcW w:w="2786" w:type="dxa"/>
          </w:tcPr>
          <w:p w14:paraId="154A7DA4" w14:textId="77777777" w:rsidR="00610266" w:rsidRPr="003836A1" w:rsidRDefault="00F95AB8" w:rsidP="003836A1">
            <w:pPr>
              <w:ind w:left="425"/>
              <w:jc w:val="both"/>
              <w:rPr>
                <w:rFonts w:ascii="Arial" w:eastAsia="Arial" w:hAnsi="Arial" w:cs="Arial"/>
              </w:rPr>
            </w:pPr>
            <w:r w:rsidRPr="003836A1">
              <w:rPr>
                <w:rFonts w:ascii="Arial" w:eastAsia="Arial" w:hAnsi="Arial" w:cs="Arial"/>
              </w:rPr>
              <w:t>Numeral 6</w:t>
            </w:r>
          </w:p>
        </w:tc>
        <w:tc>
          <w:tcPr>
            <w:tcW w:w="6381" w:type="dxa"/>
          </w:tcPr>
          <w:p w14:paraId="154A7DA5" w14:textId="77777777" w:rsidR="00610266" w:rsidRPr="003836A1" w:rsidRDefault="00F95AB8" w:rsidP="003836A1">
            <w:pPr>
              <w:ind w:left="425"/>
              <w:jc w:val="both"/>
              <w:rPr>
                <w:rFonts w:ascii="Arial" w:eastAsia="Arial" w:hAnsi="Arial" w:cs="Arial"/>
              </w:rPr>
            </w:pPr>
            <w:r w:rsidRPr="003836A1">
              <w:rPr>
                <w:rFonts w:ascii="Arial" w:eastAsia="Arial" w:hAnsi="Arial" w:cs="Arial"/>
              </w:rPr>
              <w:t>Multa General tipo 4; Destrucción del bien.</w:t>
            </w:r>
          </w:p>
        </w:tc>
      </w:tr>
    </w:tbl>
    <w:p w14:paraId="154A7DA7" w14:textId="77777777" w:rsidR="00610266" w:rsidRPr="003836A1" w:rsidRDefault="00610266" w:rsidP="003836A1">
      <w:pPr>
        <w:ind w:left="425"/>
        <w:jc w:val="both"/>
        <w:rPr>
          <w:rFonts w:ascii="Arial" w:eastAsia="Arial" w:hAnsi="Arial" w:cs="Arial"/>
        </w:rPr>
      </w:pPr>
    </w:p>
    <w:p w14:paraId="154A7DA8" w14:textId="77777777" w:rsidR="00610266" w:rsidRPr="003836A1" w:rsidRDefault="00F95AB8" w:rsidP="003836A1">
      <w:pPr>
        <w:widowControl/>
        <w:pBdr>
          <w:top w:val="nil"/>
          <w:left w:val="nil"/>
          <w:bottom w:val="nil"/>
          <w:right w:val="nil"/>
          <w:between w:val="nil"/>
        </w:pBdr>
        <w:ind w:left="425"/>
        <w:jc w:val="both"/>
        <w:rPr>
          <w:rFonts w:ascii="Arial" w:eastAsia="Arial" w:hAnsi="Arial" w:cs="Arial"/>
        </w:rPr>
      </w:pPr>
      <w:r w:rsidRPr="003836A1">
        <w:rPr>
          <w:rFonts w:ascii="Arial" w:eastAsia="Arial" w:hAnsi="Arial" w:cs="Arial"/>
          <w:b/>
        </w:rPr>
        <w:t>PARÁGRAFO 3o.</w:t>
      </w:r>
      <w:r w:rsidRPr="003836A1">
        <w:rPr>
          <w:rFonts w:ascii="Arial" w:eastAsia="Arial" w:hAnsi="Arial" w:cs="Arial"/>
        </w:rPr>
        <w:t> &lt;Parágrafo adicionado por el artículo </w:t>
      </w:r>
      <w:hyperlink r:id="rId28" w:anchor="2">
        <w:r w:rsidRPr="003836A1">
          <w:rPr>
            <w:rFonts w:ascii="Arial" w:eastAsia="Arial" w:hAnsi="Arial" w:cs="Arial"/>
            <w:u w:val="single"/>
          </w:rPr>
          <w:t>2</w:t>
        </w:r>
      </w:hyperlink>
      <w:r w:rsidRPr="003836A1">
        <w:rPr>
          <w:rFonts w:ascii="Arial" w:eastAsia="Arial" w:hAnsi="Arial" w:cs="Arial"/>
        </w:rPr>
        <w:t> de la Ley 2000 de 2019. El nuevo texto es el siguiente:&gt; Corresponderá a los alcaldes, establecer los perímetros para la restricción del consumo de sustancias psicoactivas en los lugares públicos establecidos en el presente artículo. La delimitación debe ser clara y visible para los ciudadanos, informando del espacio restringido.</w:t>
      </w:r>
    </w:p>
    <w:p w14:paraId="154A7DA9" w14:textId="77777777" w:rsidR="00610266" w:rsidRPr="003836A1" w:rsidRDefault="00610266" w:rsidP="003836A1">
      <w:pPr>
        <w:widowControl/>
        <w:pBdr>
          <w:top w:val="nil"/>
          <w:left w:val="nil"/>
          <w:bottom w:val="nil"/>
          <w:right w:val="nil"/>
          <w:between w:val="nil"/>
        </w:pBdr>
        <w:ind w:left="425"/>
        <w:jc w:val="both"/>
        <w:rPr>
          <w:rFonts w:ascii="Arial" w:eastAsia="Arial" w:hAnsi="Arial" w:cs="Arial"/>
        </w:rPr>
      </w:pPr>
    </w:p>
    <w:p w14:paraId="154A7DAA" w14:textId="77777777" w:rsidR="00610266" w:rsidRPr="003836A1" w:rsidRDefault="00F95AB8" w:rsidP="003836A1">
      <w:pPr>
        <w:widowControl/>
        <w:pBdr>
          <w:top w:val="nil"/>
          <w:left w:val="nil"/>
          <w:bottom w:val="nil"/>
          <w:right w:val="nil"/>
          <w:between w:val="nil"/>
        </w:pBdr>
        <w:ind w:left="425"/>
        <w:jc w:val="both"/>
        <w:rPr>
          <w:rFonts w:ascii="Arial" w:eastAsia="Arial" w:hAnsi="Arial" w:cs="Arial"/>
        </w:rPr>
      </w:pPr>
      <w:r w:rsidRPr="003836A1">
        <w:rPr>
          <w:rFonts w:ascii="Arial" w:eastAsia="Arial" w:hAnsi="Arial" w:cs="Arial"/>
          <w:b/>
        </w:rPr>
        <w:t>PARÁGRAFO 4o.</w:t>
      </w:r>
      <w:r w:rsidRPr="003836A1">
        <w:rPr>
          <w:rFonts w:ascii="Arial" w:eastAsia="Arial" w:hAnsi="Arial" w:cs="Arial"/>
        </w:rPr>
        <w:t> &lt;Parágrafo adicionado por el artículo </w:t>
      </w:r>
      <w:hyperlink r:id="rId29" w:anchor="2">
        <w:r w:rsidRPr="003836A1">
          <w:rPr>
            <w:rFonts w:ascii="Arial" w:eastAsia="Arial" w:hAnsi="Arial" w:cs="Arial"/>
            <w:u w:val="single"/>
          </w:rPr>
          <w:t>2</w:t>
        </w:r>
      </w:hyperlink>
      <w:r w:rsidRPr="003836A1">
        <w:rPr>
          <w:rFonts w:ascii="Arial" w:eastAsia="Arial" w:hAnsi="Arial" w:cs="Arial"/>
        </w:rPr>
        <w:t> de la Ley 2000 de 2019. El nuevo texto es el siguiente:&gt; El Consejo Nacional de Estupefacientes y el Ministerio de Salud definirán, como mínimo semestralmente, las sustancias psicoactivas que creen dependencia e impacten la salud, así como sus dosis mínimas permitidas.</w:t>
      </w:r>
    </w:p>
    <w:p w14:paraId="154A7DAB" w14:textId="77777777" w:rsidR="00610266" w:rsidRPr="003836A1" w:rsidRDefault="00610266" w:rsidP="003836A1">
      <w:pPr>
        <w:widowControl/>
        <w:pBdr>
          <w:top w:val="nil"/>
          <w:left w:val="nil"/>
          <w:bottom w:val="nil"/>
          <w:right w:val="nil"/>
          <w:between w:val="nil"/>
        </w:pBdr>
        <w:shd w:val="clear" w:color="auto" w:fill="FFFFFF"/>
        <w:jc w:val="both"/>
        <w:rPr>
          <w:rFonts w:ascii="Arial" w:eastAsia="Arial" w:hAnsi="Arial" w:cs="Arial"/>
          <w:b/>
          <w:i/>
        </w:rPr>
      </w:pPr>
    </w:p>
    <w:p w14:paraId="154A7DAC"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b/>
          <w:i/>
        </w:rPr>
        <w:t>Artículo</w:t>
      </w:r>
      <w:r w:rsidRPr="003836A1">
        <w:rPr>
          <w:rFonts w:ascii="Arial" w:eastAsia="Arial" w:hAnsi="Arial" w:cs="Arial"/>
          <w:i/>
        </w:rPr>
        <w:t> </w:t>
      </w:r>
      <w:r w:rsidRPr="003836A1">
        <w:rPr>
          <w:rFonts w:ascii="Arial" w:eastAsia="Arial" w:hAnsi="Arial" w:cs="Arial"/>
          <w:b/>
          <w:i/>
        </w:rPr>
        <w:t>35. Comportamientos que afectan las relaciones entre las personas y las autoridades. </w:t>
      </w:r>
      <w:r w:rsidRPr="003836A1">
        <w:rPr>
          <w:rFonts w:ascii="Arial" w:eastAsia="Arial" w:hAnsi="Arial" w:cs="Arial"/>
          <w:i/>
        </w:rPr>
        <w:t>Los siguientes comportamientos afectan la relación entre las personas y las autoridades y por lo tanto no deben realizarse. Su realización dará lugar a medidas correctivas:</w:t>
      </w:r>
    </w:p>
    <w:p w14:paraId="154A7DAD"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i/>
        </w:rPr>
      </w:pPr>
    </w:p>
    <w:p w14:paraId="154A7DAE"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1. Irrespetar a las autoridades de Policía.</w:t>
      </w:r>
    </w:p>
    <w:p w14:paraId="154A7DAF"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2. Incumplir, desacatar, desconocer e impedir la función o la orden de Policía.</w:t>
      </w:r>
    </w:p>
    <w:p w14:paraId="154A7DB0" w14:textId="77777777" w:rsidR="00610266" w:rsidRPr="003836A1" w:rsidRDefault="00610266" w:rsidP="003836A1">
      <w:pPr>
        <w:jc w:val="both"/>
        <w:rPr>
          <w:rFonts w:ascii="Arial" w:eastAsia="Arial" w:hAnsi="Arial" w:cs="Arial"/>
          <w:i/>
        </w:rPr>
      </w:pPr>
    </w:p>
    <w:p w14:paraId="154A7DB1" w14:textId="77777777" w:rsidR="00610266" w:rsidRPr="003836A1" w:rsidRDefault="00F95AB8" w:rsidP="003836A1">
      <w:pPr>
        <w:pBdr>
          <w:top w:val="nil"/>
          <w:left w:val="nil"/>
          <w:bottom w:val="nil"/>
          <w:right w:val="nil"/>
          <w:between w:val="nil"/>
        </w:pBdr>
        <w:ind w:left="426"/>
        <w:jc w:val="both"/>
        <w:rPr>
          <w:rFonts w:ascii="Arial" w:eastAsia="Arial" w:hAnsi="Arial" w:cs="Arial"/>
          <w:i/>
        </w:rPr>
      </w:pPr>
      <w:r w:rsidRPr="003836A1">
        <w:rPr>
          <w:rFonts w:ascii="Arial" w:eastAsia="Arial" w:hAnsi="Arial" w:cs="Arial"/>
          <w:b/>
          <w:i/>
        </w:rPr>
        <w:t>Artículo 38.</w:t>
      </w:r>
      <w:r w:rsidRPr="003836A1">
        <w:rPr>
          <w:rFonts w:ascii="Arial" w:eastAsia="Arial" w:hAnsi="Arial" w:cs="Arial"/>
          <w:i/>
        </w:rPr>
        <w:t xml:space="preserve"> Comportamientos que afectan la integridad de niños, niñas y adolescentes.</w:t>
      </w:r>
    </w:p>
    <w:p w14:paraId="154A7DB2" w14:textId="77777777" w:rsidR="00610266" w:rsidRPr="003836A1" w:rsidRDefault="00610266" w:rsidP="003836A1">
      <w:pPr>
        <w:ind w:left="426"/>
        <w:jc w:val="both"/>
        <w:rPr>
          <w:rFonts w:ascii="Arial" w:eastAsia="Arial" w:hAnsi="Arial" w:cs="Arial"/>
          <w:b/>
          <w:i/>
        </w:rPr>
      </w:pPr>
    </w:p>
    <w:p w14:paraId="154A7DB3" w14:textId="77777777" w:rsidR="00610266" w:rsidRPr="003836A1" w:rsidRDefault="00F95AB8" w:rsidP="003836A1">
      <w:pPr>
        <w:widowControl/>
        <w:numPr>
          <w:ilvl w:val="0"/>
          <w:numId w:val="4"/>
        </w:numPr>
        <w:ind w:left="709" w:firstLine="0"/>
        <w:jc w:val="both"/>
        <w:rPr>
          <w:rFonts w:ascii="Arial" w:eastAsia="Arial" w:hAnsi="Arial" w:cs="Arial"/>
          <w:i/>
        </w:rPr>
      </w:pPr>
      <w:r w:rsidRPr="003836A1">
        <w:rPr>
          <w:rFonts w:ascii="Arial" w:eastAsia="Arial" w:hAnsi="Arial" w:cs="Arial"/>
          <w:i/>
        </w:rPr>
        <w:t xml:space="preserve">Permitir, auspiciar, tolerar, inducir o constreñir el ingreso de los niños, niñas y adolescentes a los lugares donde: </w:t>
      </w:r>
    </w:p>
    <w:p w14:paraId="154A7DB4" w14:textId="77777777" w:rsidR="00610266" w:rsidRPr="003836A1" w:rsidRDefault="00610266" w:rsidP="003836A1">
      <w:pPr>
        <w:widowControl/>
        <w:jc w:val="both"/>
        <w:rPr>
          <w:rFonts w:ascii="Arial" w:eastAsia="Arial" w:hAnsi="Arial" w:cs="Arial"/>
          <w:i/>
        </w:rPr>
      </w:pPr>
    </w:p>
    <w:p w14:paraId="154A7DB5" w14:textId="77777777" w:rsidR="00610266" w:rsidRPr="003836A1" w:rsidRDefault="00610266" w:rsidP="003836A1">
      <w:pPr>
        <w:widowControl/>
        <w:jc w:val="both"/>
        <w:rPr>
          <w:rFonts w:ascii="Arial" w:eastAsia="Arial" w:hAnsi="Arial" w:cs="Arial"/>
          <w:i/>
        </w:rPr>
      </w:pPr>
    </w:p>
    <w:p w14:paraId="154A7DB6" w14:textId="77777777" w:rsidR="00610266" w:rsidRPr="003836A1" w:rsidRDefault="00F95AB8" w:rsidP="003836A1">
      <w:pPr>
        <w:ind w:left="709"/>
        <w:jc w:val="both"/>
        <w:rPr>
          <w:rFonts w:ascii="Arial" w:eastAsia="Arial" w:hAnsi="Arial" w:cs="Arial"/>
          <w:b/>
          <w:i/>
          <w:u w:val="single"/>
        </w:rPr>
      </w:pPr>
      <w:r w:rsidRPr="003836A1">
        <w:rPr>
          <w:rFonts w:ascii="Arial" w:eastAsia="Arial" w:hAnsi="Arial" w:cs="Arial"/>
          <w:b/>
          <w:i/>
        </w:rPr>
        <w:t xml:space="preserve">e)  </w:t>
      </w:r>
      <w:r w:rsidRPr="003836A1">
        <w:rPr>
          <w:rFonts w:ascii="Arial" w:eastAsia="Arial" w:hAnsi="Arial" w:cs="Arial"/>
          <w:b/>
          <w:i/>
          <w:u w:val="single"/>
        </w:rPr>
        <w:t xml:space="preserve">Se realicen actividades de diversión destinadas al consumo de bebidas alcohólicas y consumo de cigarrillo, tabaco y sus derivados y sustancias psicoactivas; </w:t>
      </w:r>
      <w:r w:rsidRPr="003836A1">
        <w:rPr>
          <w:rFonts w:ascii="Arial" w:eastAsia="Arial" w:hAnsi="Arial" w:cs="Arial"/>
          <w:i/>
        </w:rPr>
        <w:t>(negrilla y subrayado por fuera de texto)</w:t>
      </w:r>
    </w:p>
    <w:p w14:paraId="154A7DB7" w14:textId="77777777" w:rsidR="00610266" w:rsidRPr="003836A1" w:rsidRDefault="00610266" w:rsidP="003836A1">
      <w:pPr>
        <w:ind w:left="709"/>
        <w:jc w:val="both"/>
        <w:rPr>
          <w:rFonts w:ascii="Arial" w:eastAsia="Arial" w:hAnsi="Arial" w:cs="Arial"/>
          <w:i/>
        </w:rPr>
      </w:pPr>
    </w:p>
    <w:p w14:paraId="154A7DB8" w14:textId="77777777" w:rsidR="00610266" w:rsidRPr="003836A1" w:rsidRDefault="00F95AB8" w:rsidP="003836A1">
      <w:pPr>
        <w:ind w:left="709"/>
        <w:jc w:val="both"/>
        <w:rPr>
          <w:rFonts w:ascii="Arial" w:eastAsia="Arial" w:hAnsi="Arial" w:cs="Arial"/>
          <w:i/>
        </w:rPr>
      </w:pPr>
      <w:r w:rsidRPr="003836A1">
        <w:rPr>
          <w:rFonts w:ascii="Arial" w:eastAsia="Arial" w:hAnsi="Arial" w:cs="Arial"/>
          <w:b/>
          <w:i/>
        </w:rPr>
        <w:t xml:space="preserve">5. </w:t>
      </w:r>
      <w:r w:rsidRPr="003836A1">
        <w:rPr>
          <w:rFonts w:ascii="Arial" w:eastAsia="Arial" w:hAnsi="Arial" w:cs="Arial"/>
          <w:i/>
        </w:rPr>
        <w:t>Facilitar, distribuir, ofrecer, comercializar, prestar o alquilar, cualquiera de los siguientes elementos, sustancias o bebidas, a niños, niñas o adolescentes:</w:t>
      </w:r>
    </w:p>
    <w:p w14:paraId="154A7DB9" w14:textId="77777777" w:rsidR="00610266" w:rsidRPr="003836A1" w:rsidRDefault="00F95AB8" w:rsidP="003836A1">
      <w:pPr>
        <w:ind w:left="709"/>
        <w:jc w:val="both"/>
        <w:rPr>
          <w:rFonts w:ascii="Arial" w:eastAsia="Arial" w:hAnsi="Arial" w:cs="Arial"/>
          <w:b/>
          <w:i/>
        </w:rPr>
      </w:pPr>
      <w:r w:rsidRPr="003836A1">
        <w:rPr>
          <w:rFonts w:ascii="Arial" w:eastAsia="Arial" w:hAnsi="Arial" w:cs="Arial"/>
          <w:b/>
          <w:i/>
        </w:rPr>
        <w:t xml:space="preserve">  </w:t>
      </w:r>
    </w:p>
    <w:p w14:paraId="154A7DBA" w14:textId="77777777" w:rsidR="00610266" w:rsidRPr="003836A1" w:rsidRDefault="00F95AB8" w:rsidP="003836A1">
      <w:pPr>
        <w:ind w:left="709"/>
        <w:jc w:val="both"/>
        <w:rPr>
          <w:rFonts w:ascii="Arial" w:eastAsia="Arial" w:hAnsi="Arial" w:cs="Arial"/>
          <w:b/>
          <w:i/>
          <w:u w:val="single"/>
        </w:rPr>
      </w:pPr>
      <w:r w:rsidRPr="003836A1">
        <w:rPr>
          <w:rFonts w:ascii="Arial" w:eastAsia="Arial" w:hAnsi="Arial" w:cs="Arial"/>
          <w:b/>
          <w:i/>
          <w:u w:val="single"/>
        </w:rPr>
        <w:t>b)   Bebidas alcohólicas, cigarrillo, tabaco y sus derivados, sustancias psi     coactivas o cualquier sustancia que afecte su salud;</w:t>
      </w:r>
      <w:r w:rsidRPr="003836A1">
        <w:rPr>
          <w:rFonts w:ascii="Arial" w:eastAsia="Arial" w:hAnsi="Arial" w:cs="Arial"/>
          <w:i/>
        </w:rPr>
        <w:t xml:space="preserve"> (negrilla y subrayado por fuera de texto)</w:t>
      </w:r>
    </w:p>
    <w:p w14:paraId="154A7DBB" w14:textId="77777777" w:rsidR="00610266" w:rsidRPr="003836A1" w:rsidRDefault="00610266" w:rsidP="003836A1">
      <w:pPr>
        <w:ind w:left="709"/>
        <w:jc w:val="both"/>
        <w:rPr>
          <w:rFonts w:ascii="Arial" w:eastAsia="Arial" w:hAnsi="Arial" w:cs="Arial"/>
          <w:b/>
          <w:i/>
          <w:u w:val="single"/>
        </w:rPr>
      </w:pPr>
    </w:p>
    <w:p w14:paraId="154A7DBC" w14:textId="77777777" w:rsidR="00610266" w:rsidRPr="003836A1" w:rsidRDefault="00F95AB8" w:rsidP="003836A1">
      <w:pPr>
        <w:ind w:left="709"/>
        <w:jc w:val="both"/>
        <w:rPr>
          <w:rFonts w:ascii="Arial" w:eastAsia="Arial" w:hAnsi="Arial" w:cs="Arial"/>
          <w:i/>
        </w:rPr>
      </w:pPr>
      <w:r w:rsidRPr="003836A1">
        <w:rPr>
          <w:rFonts w:ascii="Arial" w:eastAsia="Arial" w:hAnsi="Arial" w:cs="Arial"/>
          <w:i/>
        </w:rPr>
        <w:t xml:space="preserve"> </w:t>
      </w:r>
      <w:r w:rsidRPr="003836A1">
        <w:rPr>
          <w:rFonts w:ascii="Arial" w:eastAsia="Arial" w:hAnsi="Arial" w:cs="Arial"/>
          <w:b/>
          <w:i/>
        </w:rPr>
        <w:t>6.</w:t>
      </w:r>
      <w:r w:rsidRPr="003836A1">
        <w:rPr>
          <w:rFonts w:ascii="Arial" w:eastAsia="Arial" w:hAnsi="Arial" w:cs="Arial"/>
          <w:i/>
        </w:rPr>
        <w:t xml:space="preserve"> Inducir a niños, niñas o adolescentes a:</w:t>
      </w:r>
    </w:p>
    <w:p w14:paraId="154A7DBD" w14:textId="77777777" w:rsidR="00610266" w:rsidRPr="003836A1" w:rsidRDefault="00610266" w:rsidP="003836A1">
      <w:pPr>
        <w:ind w:left="709"/>
        <w:jc w:val="both"/>
        <w:rPr>
          <w:rFonts w:ascii="Arial" w:eastAsia="Arial" w:hAnsi="Arial" w:cs="Arial"/>
          <w:i/>
        </w:rPr>
      </w:pPr>
    </w:p>
    <w:p w14:paraId="154A7DBE" w14:textId="77777777" w:rsidR="00610266" w:rsidRPr="003836A1" w:rsidRDefault="00F95AB8" w:rsidP="003836A1">
      <w:pPr>
        <w:widowControl/>
        <w:numPr>
          <w:ilvl w:val="0"/>
          <w:numId w:val="8"/>
        </w:numPr>
        <w:pBdr>
          <w:top w:val="nil"/>
          <w:left w:val="nil"/>
          <w:bottom w:val="nil"/>
          <w:right w:val="nil"/>
          <w:between w:val="nil"/>
        </w:pBdr>
        <w:ind w:left="709" w:firstLine="0"/>
        <w:jc w:val="both"/>
        <w:rPr>
          <w:rFonts w:ascii="Arial" w:eastAsia="Arial" w:hAnsi="Arial" w:cs="Arial"/>
          <w:b/>
          <w:i/>
          <w:u w:val="single"/>
        </w:rPr>
      </w:pPr>
      <w:r w:rsidRPr="003836A1">
        <w:rPr>
          <w:rFonts w:ascii="Arial" w:eastAsia="Arial" w:hAnsi="Arial" w:cs="Arial"/>
          <w:b/>
          <w:i/>
          <w:u w:val="single"/>
        </w:rPr>
        <w:t>Consumir bebidas alcohólicas, cigarrillo, tabaco y sus derivados, sustancias psicoactivas o cualquier sustancia que afecte su salud;</w:t>
      </w:r>
      <w:r w:rsidRPr="003836A1">
        <w:rPr>
          <w:rFonts w:ascii="Arial" w:eastAsia="Arial" w:hAnsi="Arial" w:cs="Arial"/>
          <w:i/>
        </w:rPr>
        <w:t xml:space="preserve"> (negrilla y subrayado por fuera de texto)</w:t>
      </w:r>
    </w:p>
    <w:p w14:paraId="154A7DBF" w14:textId="77777777" w:rsidR="00610266" w:rsidRPr="003836A1" w:rsidRDefault="00610266" w:rsidP="003836A1">
      <w:pPr>
        <w:widowControl/>
        <w:pBdr>
          <w:top w:val="nil"/>
          <w:left w:val="nil"/>
          <w:bottom w:val="nil"/>
          <w:right w:val="nil"/>
          <w:between w:val="nil"/>
        </w:pBdr>
        <w:ind w:left="709"/>
        <w:jc w:val="both"/>
        <w:rPr>
          <w:rFonts w:ascii="Arial" w:eastAsia="Arial" w:hAnsi="Arial" w:cs="Arial"/>
          <w:b/>
          <w:i/>
          <w:u w:val="single"/>
        </w:rPr>
      </w:pPr>
    </w:p>
    <w:p w14:paraId="154A7DC0"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b/>
          <w:i/>
        </w:rPr>
        <w:t>Artículo 140. Comportamientos contrarios al cuidado e integridad del espacio público. </w:t>
      </w:r>
      <w:hyperlink r:id="rId30" w:anchor="11">
        <w:r w:rsidRPr="003836A1">
          <w:rPr>
            <w:rFonts w:ascii="Arial" w:eastAsia="Arial" w:hAnsi="Arial" w:cs="Arial"/>
            <w:i/>
            <w:u w:val="single"/>
          </w:rPr>
          <w:t>Corregido por el art. 11, Decreto Nacional 555 de 2017.</w:t>
        </w:r>
      </w:hyperlink>
      <w:r w:rsidRPr="003836A1">
        <w:rPr>
          <w:rFonts w:ascii="Arial" w:eastAsia="Arial" w:hAnsi="Arial" w:cs="Arial"/>
          <w:i/>
        </w:rPr>
        <w:t> Los siguientes comportamientos son contrarios al cuidado e integridad del espacio público y por lo tanto no deben efectuarse:</w:t>
      </w:r>
    </w:p>
    <w:p w14:paraId="154A7DC1"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i/>
        </w:rPr>
      </w:pPr>
    </w:p>
    <w:p w14:paraId="154A7DC2"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1. Omitir el cuidado y mejoramiento de las áreas públicas mediante el mantenimiento, aseo y enlucimiento de las fachadas, jardines y antejardines de las viviendas y edificaciones de uso privado.</w:t>
      </w:r>
    </w:p>
    <w:p w14:paraId="154A7DC3"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2. Realizar obras de construcción o remodelación en las vías vehiculares o peatonales, en parques, espacios públicos, corredores de transporte público, o similares, sin la debida autorización de la autoridad competente.</w:t>
      </w:r>
    </w:p>
    <w:p w14:paraId="154A7DC4"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3. Alterar, remover, dañar o destruir el mobiliario urbano o rural tales como semáforos, señalización vial, teléfonos públicos, hidrantes, estaciones de transporte, faroles o elementos de iluminación, bancas o cestas de basura.</w:t>
      </w:r>
    </w:p>
    <w:p w14:paraId="154A7DC5"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4. Ocupar el espacio público en violación de las normas vigentes.</w:t>
      </w:r>
    </w:p>
    <w:p w14:paraId="154A7DC6"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b/>
          <w:i/>
        </w:rPr>
        <w:t>NOTA: Numeral declarado EXEQUIBLE por la Corte Constitucional mediante Sentencia </w:t>
      </w:r>
      <w:hyperlink r:id="rId31">
        <w:r w:rsidRPr="003836A1">
          <w:rPr>
            <w:rFonts w:ascii="Arial" w:eastAsia="Arial" w:hAnsi="Arial" w:cs="Arial"/>
            <w:i/>
            <w:u w:val="single"/>
          </w:rPr>
          <w:t>C-211</w:t>
        </w:r>
      </w:hyperlink>
      <w:r w:rsidRPr="003836A1">
        <w:rPr>
          <w:rFonts w:ascii="Arial" w:eastAsia="Arial" w:hAnsi="Arial" w:cs="Arial"/>
          <w:b/>
          <w:i/>
        </w:rPr>
        <w:t> de 2017.</w:t>
      </w:r>
    </w:p>
    <w:p w14:paraId="154A7DC7"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5. Ensuciar, dañar o hacer un uso indebido o abusivo de los bienes fiscales o de uso público o contrariar los reglamentos o manuales pertinentes.</w:t>
      </w:r>
    </w:p>
    <w:p w14:paraId="154A7DC8"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6. Promover o facilitar el uso u ocupación del espacio público en violación de las normas y jurisprudencia constitucional vigente.</w:t>
      </w:r>
    </w:p>
    <w:p w14:paraId="154A7DC9"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7. Consumir </w:t>
      </w:r>
      <w:r w:rsidRPr="003836A1">
        <w:rPr>
          <w:rFonts w:ascii="Arial" w:eastAsia="Arial" w:hAnsi="Arial" w:cs="Arial"/>
          <w:i/>
          <w:u w:val="single"/>
        </w:rPr>
        <w:t>bebidas alcohólicas</w:t>
      </w:r>
      <w:r w:rsidRPr="003836A1">
        <w:rPr>
          <w:rFonts w:ascii="Arial" w:eastAsia="Arial" w:hAnsi="Arial" w:cs="Arial"/>
          <w:i/>
        </w:rPr>
        <w:t xml:space="preserve">, sustancias </w:t>
      </w:r>
      <w:r w:rsidRPr="003836A1">
        <w:rPr>
          <w:rFonts w:ascii="Arial" w:eastAsia="Arial" w:hAnsi="Arial" w:cs="Arial"/>
          <w:i/>
          <w:u w:val="single"/>
        </w:rPr>
        <w:t>psicoactivas o</w:t>
      </w:r>
      <w:r w:rsidRPr="003836A1">
        <w:rPr>
          <w:rFonts w:ascii="Arial" w:eastAsia="Arial" w:hAnsi="Arial" w:cs="Arial"/>
          <w:i/>
        </w:rPr>
        <w:t xml:space="preserve"> prohibidas en estadios, coliseos, centros deportivos, parques, hospitales, centros de salud y en general, en el espacio público, excepto en las actividades autorizadas por la autoridad competente.</w:t>
      </w:r>
    </w:p>
    <w:p w14:paraId="154A7DCA" w14:textId="77777777" w:rsidR="00610266" w:rsidRPr="003836A1" w:rsidRDefault="00A44017" w:rsidP="003836A1">
      <w:pPr>
        <w:widowControl/>
        <w:pBdr>
          <w:top w:val="nil"/>
          <w:left w:val="nil"/>
          <w:bottom w:val="nil"/>
          <w:right w:val="nil"/>
          <w:between w:val="nil"/>
        </w:pBdr>
        <w:shd w:val="clear" w:color="auto" w:fill="FFFFFF"/>
        <w:ind w:left="709"/>
        <w:jc w:val="both"/>
        <w:rPr>
          <w:rFonts w:ascii="Arial" w:eastAsia="Arial" w:hAnsi="Arial" w:cs="Arial"/>
          <w:i/>
        </w:rPr>
      </w:pPr>
      <w:hyperlink r:id="rId32">
        <w:r w:rsidR="00F95AB8" w:rsidRPr="003836A1">
          <w:rPr>
            <w:rFonts w:ascii="Arial" w:eastAsia="Arial" w:hAnsi="Arial" w:cs="Arial"/>
            <w:i/>
            <w:u w:val="single"/>
          </w:rPr>
          <w:t>Ver Decreto Distrital 825 de 2019.</w:t>
        </w:r>
      </w:hyperlink>
    </w:p>
    <w:p w14:paraId="154A7DCB"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b/>
          <w:i/>
        </w:rPr>
        <w:t>NOTA: Las expresiones ‘bebidas alcohólicas’ y ‘psicoactivas o’ fueron declaradas INEXEQUIBLES por la Sentencia </w:t>
      </w:r>
      <w:hyperlink r:id="rId33" w:anchor="R.2">
        <w:r w:rsidRPr="003836A1">
          <w:rPr>
            <w:rFonts w:ascii="Arial" w:eastAsia="Arial" w:hAnsi="Arial" w:cs="Arial"/>
            <w:i/>
            <w:u w:val="single"/>
          </w:rPr>
          <w:t>C-253</w:t>
        </w:r>
      </w:hyperlink>
      <w:r w:rsidRPr="003836A1">
        <w:rPr>
          <w:rFonts w:ascii="Arial" w:eastAsia="Arial" w:hAnsi="Arial" w:cs="Arial"/>
          <w:b/>
          <w:i/>
        </w:rPr>
        <w:t> de 2019. Magistrada Ponente: Diana Fajardo Rivera.  </w:t>
      </w:r>
    </w:p>
    <w:p w14:paraId="154A7DCC"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8. Portar sustancias prohibidas en el espacio público.</w:t>
      </w:r>
    </w:p>
    <w:p w14:paraId="154A7DCD"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9. Escribir o fijar en lugar público o abierto al público, postes, fachadas, antejardines, muros, paredes, elementos físicos naturales, tales como piedras y troncos de árbol, de propiedades públicas o privadas, leyendas, dibujos, grafitis, sin el debido permiso, cuando este se requiera o incumpliendo la normatividad vigente.</w:t>
      </w:r>
    </w:p>
    <w:p w14:paraId="154A7DCE"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10. Drenar o verter aguas residuales al espacio público, en sectores que cuentan con el servicio de alcantarillado de aguas servidas y en caso de no contar con este, hacerlo incumpliendo la indicación de las autoridades.</w:t>
      </w:r>
    </w:p>
    <w:p w14:paraId="154A7DCF"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11. Realizar necesidades fisiológicas en el espacio público.</w:t>
      </w:r>
    </w:p>
    <w:p w14:paraId="154A7DD0"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12. Fijar en espacio público propaganda, avisos o pasacalles, pancartas, pendones, vallas o banderolas, sin el debido permiso o incumpliendo las condiciones establecidas en la normatividad vigente.</w:t>
      </w:r>
    </w:p>
    <w:p w14:paraId="154A7DD1" w14:textId="77777777" w:rsidR="00610266" w:rsidRPr="003836A1" w:rsidRDefault="00F95AB8" w:rsidP="003836A1">
      <w:pPr>
        <w:pBdr>
          <w:top w:val="nil"/>
          <w:left w:val="nil"/>
          <w:bottom w:val="nil"/>
          <w:right w:val="nil"/>
          <w:between w:val="nil"/>
        </w:pBdr>
        <w:shd w:val="clear" w:color="auto" w:fill="FFFFFF"/>
        <w:ind w:left="709"/>
        <w:jc w:val="both"/>
        <w:rPr>
          <w:rFonts w:ascii="Arial" w:eastAsia="Arial" w:hAnsi="Arial" w:cs="Arial"/>
          <w:b/>
          <w:i/>
          <w:u w:val="single"/>
        </w:rPr>
      </w:pPr>
      <w:r w:rsidRPr="003836A1">
        <w:rPr>
          <w:rFonts w:ascii="Arial" w:eastAsia="Arial" w:hAnsi="Arial" w:cs="Arial"/>
          <w:b/>
          <w:i/>
          <w:u w:val="single"/>
        </w:rPr>
        <w:t>13. </w:t>
      </w:r>
      <w:hyperlink r:id="rId34" w:anchor="2">
        <w:r w:rsidRPr="003836A1">
          <w:rPr>
            <w:rFonts w:ascii="Arial" w:eastAsia="Arial" w:hAnsi="Arial" w:cs="Arial"/>
            <w:b/>
            <w:i/>
            <w:u w:val="single"/>
          </w:rPr>
          <w:t>Adicionado por el art. 2° de la Ley 2000 de 2019. </w:t>
        </w:r>
      </w:hyperlink>
      <w:r w:rsidRPr="003836A1">
        <w:rPr>
          <w:rFonts w:ascii="Arial" w:eastAsia="Arial" w:hAnsi="Arial" w:cs="Arial"/>
          <w:b/>
          <w:i/>
          <w:u w:val="single"/>
        </w:rPr>
        <w:t>&lt;El texto adicionado es el siguiente&gt;:</w:t>
      </w:r>
      <w:hyperlink r:id="rId35" w:anchor="140.n.13">
        <w:r w:rsidRPr="003836A1">
          <w:rPr>
            <w:rFonts w:ascii="Arial" w:eastAsia="Arial" w:hAnsi="Arial" w:cs="Arial"/>
            <w:b/>
            <w:i/>
            <w:u w:val="single"/>
          </w:rPr>
          <w:t> </w:t>
        </w:r>
      </w:hyperlink>
      <w:r w:rsidRPr="003836A1">
        <w:rPr>
          <w:rFonts w:ascii="Arial" w:eastAsia="Arial" w:hAnsi="Arial" w:cs="Arial"/>
          <w:b/>
          <w:i/>
          <w:u w:val="single"/>
        </w:rPr>
        <w:t>Consumir, portar, distribuir, ofrecer o comercializar sustancias psicoactivas, inclusive la dosis personal, en el perímetro de centros educativos; además al interior de centros deportivos, y en parques. También, corresponderá a la Asamblea o Consejo de Administración regular la prohibición del consumo de sustancias psicoactivas en determinadas áreas de las zonas comunes en conjuntos residenciales o las unidades de propiedad horizontal de propiedades horizontales, en los términos de la Ley </w:t>
      </w:r>
      <w:hyperlink r:id="rId36">
        <w:r w:rsidRPr="003836A1">
          <w:rPr>
            <w:rFonts w:ascii="Arial" w:eastAsia="Arial" w:hAnsi="Arial" w:cs="Arial"/>
            <w:b/>
            <w:i/>
            <w:u w:val="single"/>
          </w:rPr>
          <w:t>675</w:t>
        </w:r>
      </w:hyperlink>
      <w:r w:rsidRPr="003836A1">
        <w:rPr>
          <w:rFonts w:ascii="Arial" w:eastAsia="Arial" w:hAnsi="Arial" w:cs="Arial"/>
          <w:b/>
          <w:i/>
          <w:u w:val="single"/>
        </w:rPr>
        <w:t> de 2001.</w:t>
      </w:r>
    </w:p>
    <w:p w14:paraId="154A7DD2" w14:textId="77777777" w:rsidR="00610266" w:rsidRPr="003836A1" w:rsidRDefault="00F95AB8" w:rsidP="003836A1">
      <w:pPr>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14. </w:t>
      </w:r>
      <w:hyperlink r:id="rId37" w:anchor="2">
        <w:r w:rsidRPr="003836A1">
          <w:rPr>
            <w:rFonts w:ascii="Arial" w:eastAsia="Arial" w:hAnsi="Arial" w:cs="Arial"/>
            <w:i/>
            <w:u w:val="single"/>
          </w:rPr>
          <w:t>Adicionado por el art. 2° de la Ley 2000 de 2019.</w:t>
        </w:r>
      </w:hyperlink>
      <w:r w:rsidRPr="003836A1">
        <w:rPr>
          <w:rFonts w:ascii="Arial" w:eastAsia="Arial" w:hAnsi="Arial" w:cs="Arial"/>
          <w:i/>
        </w:rPr>
        <w:t> &lt;El texto adicionado es el siguiente&gt;: Consumir, portar, distribuir, ofrecer o comercializar sustancias psicoactivas, incluso la dosis personal, en áreas o zonas del espacio público, tales como zonas históricas o declaradas de interés cultural, u otras establecidas por motivos de interés público, que sean definidas por el alcalde del municipio. La delimitación de estas áreas o zonas debe obedecer a principios de razonabilidad y proporcionalidad.</w:t>
      </w:r>
    </w:p>
    <w:p w14:paraId="154A7DD3" w14:textId="77777777" w:rsidR="00610266" w:rsidRPr="003836A1" w:rsidRDefault="00610266" w:rsidP="003836A1">
      <w:pPr>
        <w:pBdr>
          <w:top w:val="nil"/>
          <w:left w:val="nil"/>
          <w:bottom w:val="nil"/>
          <w:right w:val="nil"/>
          <w:between w:val="nil"/>
        </w:pBdr>
        <w:shd w:val="clear" w:color="auto" w:fill="FFFFFF"/>
        <w:ind w:left="709"/>
        <w:jc w:val="both"/>
        <w:rPr>
          <w:rFonts w:ascii="Arial" w:eastAsia="Arial" w:hAnsi="Arial" w:cs="Arial"/>
          <w:i/>
        </w:rPr>
      </w:pPr>
    </w:p>
    <w:p w14:paraId="154A7DD4"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b/>
          <w:i/>
        </w:rPr>
        <w:t>Parágrafo 1°.</w:t>
      </w:r>
      <w:r w:rsidRPr="003836A1">
        <w:rPr>
          <w:rFonts w:ascii="Arial" w:eastAsia="Arial" w:hAnsi="Arial" w:cs="Arial"/>
          <w:i/>
        </w:rPr>
        <w:t> Las empresas de servicios públicos pueden ocupar de manera temporal el espacio público para la instalación o mantenimiento de redes y equipamientos, con el respeto de las calidades ambientales y paisajísticas del lugar, y la respectiva licencia de intervención expedida por la autoridad competente.</w:t>
      </w:r>
    </w:p>
    <w:p w14:paraId="154A7DD5"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b/>
          <w:i/>
        </w:rPr>
        <w:t>Parágrafo</w:t>
      </w:r>
      <w:r w:rsidRPr="003836A1">
        <w:rPr>
          <w:rFonts w:ascii="Arial" w:eastAsia="Arial" w:hAnsi="Arial" w:cs="Arial"/>
          <w:i/>
        </w:rPr>
        <w:t> </w:t>
      </w:r>
      <w:r w:rsidRPr="003836A1">
        <w:rPr>
          <w:rFonts w:ascii="Arial" w:eastAsia="Arial" w:hAnsi="Arial" w:cs="Arial"/>
          <w:b/>
          <w:i/>
        </w:rPr>
        <w:t>2°.</w:t>
      </w:r>
      <w:r w:rsidRPr="003836A1">
        <w:rPr>
          <w:rFonts w:ascii="Arial" w:eastAsia="Arial" w:hAnsi="Arial" w:cs="Arial"/>
          <w:i/>
        </w:rPr>
        <w:t> </w:t>
      </w:r>
      <w:hyperlink r:id="rId38" w:anchor="2">
        <w:r w:rsidRPr="003836A1">
          <w:rPr>
            <w:rFonts w:ascii="Arial" w:eastAsia="Arial" w:hAnsi="Arial" w:cs="Arial"/>
            <w:i/>
            <w:u w:val="single"/>
          </w:rPr>
          <w:t>Modificado por el art. 2° de la Ley 2000 de 2019.</w:t>
        </w:r>
      </w:hyperlink>
      <w:r w:rsidRPr="003836A1">
        <w:rPr>
          <w:rFonts w:ascii="Arial" w:eastAsia="Arial" w:hAnsi="Arial" w:cs="Arial"/>
          <w:i/>
          <w:highlight w:val="white"/>
        </w:rPr>
        <w:t> &lt;El nuevo texto es el siguiente&gt;: Quien incurra en uno o más de los comportamientos señalados será objeto de la aplicación de las siguientes medidas, sin perjuicio de la responsabilidad penal que se genere bajo el Título XIII del Código Penal.</w:t>
      </w:r>
    </w:p>
    <w:p w14:paraId="154A7DD6" w14:textId="77777777" w:rsidR="00610266" w:rsidRPr="003836A1" w:rsidRDefault="00A44017" w:rsidP="003836A1">
      <w:pPr>
        <w:widowControl/>
        <w:pBdr>
          <w:top w:val="nil"/>
          <w:left w:val="nil"/>
          <w:bottom w:val="nil"/>
          <w:right w:val="nil"/>
          <w:between w:val="nil"/>
        </w:pBdr>
        <w:shd w:val="clear" w:color="auto" w:fill="FFFFFF"/>
        <w:ind w:left="709"/>
        <w:jc w:val="both"/>
        <w:rPr>
          <w:rFonts w:ascii="Arial" w:eastAsia="Arial" w:hAnsi="Arial" w:cs="Arial"/>
          <w:i/>
          <w:u w:val="single"/>
        </w:rPr>
      </w:pPr>
      <w:hyperlink r:id="rId39" w:anchor="3">
        <w:r w:rsidR="00F95AB8" w:rsidRPr="003836A1">
          <w:rPr>
            <w:rFonts w:ascii="Arial" w:eastAsia="Arial" w:hAnsi="Arial" w:cs="Arial"/>
            <w:i/>
            <w:u w:val="single"/>
          </w:rPr>
          <w:t>Ver Decreto Distrital 825 de 2019.</w:t>
        </w:r>
      </w:hyperlink>
      <w:r w:rsidR="00F95AB8" w:rsidRPr="003836A1">
        <w:rPr>
          <w:rFonts w:ascii="Arial" w:eastAsia="Arial" w:hAnsi="Arial" w:cs="Arial"/>
          <w:i/>
        </w:rPr>
        <w:t> </w:t>
      </w:r>
      <w:hyperlink r:id="rId40">
        <w:r w:rsidR="00F95AB8" w:rsidRPr="003836A1">
          <w:rPr>
            <w:rFonts w:ascii="Arial" w:eastAsia="Arial" w:hAnsi="Arial" w:cs="Arial"/>
            <w:i/>
            <w:u w:val="single"/>
          </w:rPr>
          <w:t>Ver Sentencia C-062 de 2021.</w:t>
        </w:r>
      </w:hyperlink>
    </w:p>
    <w:p w14:paraId="154A7DD7" w14:textId="77777777" w:rsidR="00610266" w:rsidRPr="003836A1" w:rsidRDefault="00610266" w:rsidP="003836A1">
      <w:pPr>
        <w:widowControl/>
        <w:pBdr>
          <w:top w:val="nil"/>
          <w:left w:val="nil"/>
          <w:bottom w:val="nil"/>
          <w:right w:val="nil"/>
          <w:between w:val="nil"/>
        </w:pBdr>
        <w:shd w:val="clear" w:color="auto" w:fill="FFFFFF"/>
        <w:ind w:left="709"/>
        <w:jc w:val="both"/>
        <w:rPr>
          <w:rFonts w:ascii="Arial" w:eastAsia="Arial" w:hAnsi="Arial" w:cs="Arial"/>
          <w:i/>
          <w:u w:val="single"/>
        </w:rPr>
      </w:pPr>
    </w:p>
    <w:tbl>
      <w:tblPr>
        <w:tblStyle w:val="a2"/>
        <w:tblW w:w="916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070"/>
        <w:gridCol w:w="6097"/>
      </w:tblGrid>
      <w:tr w:rsidR="003836A1" w:rsidRPr="003836A1" w14:paraId="154A7DDA" w14:textId="77777777" w:rsidTr="001D4849">
        <w:tc>
          <w:tcPr>
            <w:tcW w:w="3070" w:type="dxa"/>
          </w:tcPr>
          <w:p w14:paraId="154A7DD8" w14:textId="77777777" w:rsidR="00610266" w:rsidRPr="003836A1" w:rsidRDefault="00F95AB8" w:rsidP="003836A1">
            <w:pPr>
              <w:ind w:left="709"/>
              <w:jc w:val="both"/>
              <w:rPr>
                <w:rFonts w:ascii="Arial" w:eastAsia="Arial" w:hAnsi="Arial" w:cs="Arial"/>
              </w:rPr>
            </w:pPr>
            <w:r w:rsidRPr="003836A1">
              <w:rPr>
                <w:rFonts w:ascii="Arial" w:eastAsia="Arial" w:hAnsi="Arial" w:cs="Arial"/>
                <w:b/>
              </w:rPr>
              <w:t>COMPORTAMIENTOS</w:t>
            </w:r>
          </w:p>
        </w:tc>
        <w:tc>
          <w:tcPr>
            <w:tcW w:w="6097" w:type="dxa"/>
          </w:tcPr>
          <w:p w14:paraId="154A7DD9" w14:textId="77777777" w:rsidR="00610266" w:rsidRPr="003836A1" w:rsidRDefault="00F95AB8" w:rsidP="003836A1">
            <w:pPr>
              <w:ind w:left="316"/>
              <w:jc w:val="both"/>
              <w:rPr>
                <w:rFonts w:ascii="Arial" w:eastAsia="Arial" w:hAnsi="Arial" w:cs="Arial"/>
              </w:rPr>
            </w:pPr>
            <w:r w:rsidRPr="003836A1">
              <w:rPr>
                <w:rFonts w:ascii="Arial" w:eastAsia="Arial" w:hAnsi="Arial" w:cs="Arial"/>
                <w:b/>
              </w:rPr>
              <w:t>MEDIDA CORRECTIVA A APLICAR DE MANERA GENERAL</w:t>
            </w:r>
          </w:p>
        </w:tc>
      </w:tr>
      <w:tr w:rsidR="003836A1" w:rsidRPr="003836A1" w14:paraId="154A7DDD" w14:textId="77777777" w:rsidTr="001D4849">
        <w:tc>
          <w:tcPr>
            <w:tcW w:w="3070" w:type="dxa"/>
          </w:tcPr>
          <w:p w14:paraId="154A7DDB" w14:textId="77777777" w:rsidR="00610266" w:rsidRPr="003836A1" w:rsidRDefault="00F95AB8" w:rsidP="003836A1">
            <w:pPr>
              <w:ind w:left="709"/>
              <w:jc w:val="both"/>
              <w:rPr>
                <w:rFonts w:ascii="Arial" w:eastAsia="Arial" w:hAnsi="Arial" w:cs="Arial"/>
              </w:rPr>
            </w:pPr>
            <w:r w:rsidRPr="003836A1">
              <w:rPr>
                <w:rFonts w:ascii="Arial" w:eastAsia="Arial" w:hAnsi="Arial" w:cs="Arial"/>
              </w:rPr>
              <w:t>Numeral 1</w:t>
            </w:r>
          </w:p>
        </w:tc>
        <w:tc>
          <w:tcPr>
            <w:tcW w:w="6097" w:type="dxa"/>
          </w:tcPr>
          <w:p w14:paraId="154A7DDC" w14:textId="77777777" w:rsidR="00610266" w:rsidRPr="003836A1" w:rsidRDefault="00F95AB8" w:rsidP="003836A1">
            <w:pPr>
              <w:ind w:left="316"/>
              <w:jc w:val="both"/>
              <w:rPr>
                <w:rFonts w:ascii="Arial" w:eastAsia="Arial" w:hAnsi="Arial" w:cs="Arial"/>
              </w:rPr>
            </w:pPr>
            <w:r w:rsidRPr="003836A1">
              <w:rPr>
                <w:rFonts w:ascii="Arial" w:eastAsia="Arial" w:hAnsi="Arial" w:cs="Arial"/>
              </w:rPr>
              <w:t>Construcción, cerramiento, reparación o mantenimiento de inmueble.</w:t>
            </w:r>
          </w:p>
        </w:tc>
      </w:tr>
      <w:tr w:rsidR="003836A1" w:rsidRPr="003836A1" w14:paraId="154A7DE0" w14:textId="77777777" w:rsidTr="001D4849">
        <w:tc>
          <w:tcPr>
            <w:tcW w:w="3070" w:type="dxa"/>
          </w:tcPr>
          <w:p w14:paraId="154A7DDE" w14:textId="77777777" w:rsidR="00610266" w:rsidRPr="003836A1" w:rsidRDefault="00F95AB8" w:rsidP="003836A1">
            <w:pPr>
              <w:ind w:left="709"/>
              <w:jc w:val="both"/>
              <w:rPr>
                <w:rFonts w:ascii="Arial" w:eastAsia="Arial" w:hAnsi="Arial" w:cs="Arial"/>
              </w:rPr>
            </w:pPr>
            <w:r w:rsidRPr="003836A1">
              <w:rPr>
                <w:rFonts w:ascii="Arial" w:eastAsia="Arial" w:hAnsi="Arial" w:cs="Arial"/>
              </w:rPr>
              <w:t>Numeral 2</w:t>
            </w:r>
          </w:p>
        </w:tc>
        <w:tc>
          <w:tcPr>
            <w:tcW w:w="6097" w:type="dxa"/>
          </w:tcPr>
          <w:p w14:paraId="154A7DDF" w14:textId="77777777" w:rsidR="00610266" w:rsidRPr="003836A1" w:rsidRDefault="00F95AB8" w:rsidP="003836A1">
            <w:pPr>
              <w:ind w:left="316"/>
              <w:jc w:val="both"/>
              <w:rPr>
                <w:rFonts w:ascii="Arial" w:eastAsia="Arial" w:hAnsi="Arial" w:cs="Arial"/>
              </w:rPr>
            </w:pPr>
            <w:r w:rsidRPr="003836A1">
              <w:rPr>
                <w:rFonts w:ascii="Arial" w:eastAsia="Arial" w:hAnsi="Arial" w:cs="Arial"/>
              </w:rPr>
              <w:t>Multa General tipo 3.</w:t>
            </w:r>
          </w:p>
        </w:tc>
      </w:tr>
      <w:tr w:rsidR="003836A1" w:rsidRPr="003836A1" w14:paraId="154A7DE3" w14:textId="77777777" w:rsidTr="001D4849">
        <w:tc>
          <w:tcPr>
            <w:tcW w:w="3070" w:type="dxa"/>
          </w:tcPr>
          <w:p w14:paraId="154A7DE1" w14:textId="77777777" w:rsidR="00610266" w:rsidRPr="003836A1" w:rsidRDefault="00F95AB8" w:rsidP="003836A1">
            <w:pPr>
              <w:ind w:left="709"/>
              <w:jc w:val="both"/>
              <w:rPr>
                <w:rFonts w:ascii="Arial" w:eastAsia="Arial" w:hAnsi="Arial" w:cs="Arial"/>
              </w:rPr>
            </w:pPr>
            <w:r w:rsidRPr="003836A1">
              <w:rPr>
                <w:rFonts w:ascii="Arial" w:eastAsia="Arial" w:hAnsi="Arial" w:cs="Arial"/>
              </w:rPr>
              <w:t>Numeral 3</w:t>
            </w:r>
          </w:p>
        </w:tc>
        <w:tc>
          <w:tcPr>
            <w:tcW w:w="6097" w:type="dxa"/>
          </w:tcPr>
          <w:p w14:paraId="154A7DE2" w14:textId="77777777" w:rsidR="00610266" w:rsidRPr="003836A1" w:rsidRDefault="00F95AB8" w:rsidP="003836A1">
            <w:pPr>
              <w:ind w:left="316"/>
              <w:jc w:val="both"/>
              <w:rPr>
                <w:rFonts w:ascii="Arial" w:eastAsia="Arial" w:hAnsi="Arial" w:cs="Arial"/>
              </w:rPr>
            </w:pPr>
            <w:r w:rsidRPr="003836A1">
              <w:rPr>
                <w:rFonts w:ascii="Arial" w:eastAsia="Arial" w:hAnsi="Arial" w:cs="Arial"/>
              </w:rPr>
              <w:t>Multa General tipo 4; Reparación de daños materiales de muebles o inmuebles; Construcción, cerramiento, reparación o mantenimiento de inmuebles.</w:t>
            </w:r>
          </w:p>
        </w:tc>
      </w:tr>
      <w:tr w:rsidR="003836A1" w:rsidRPr="003836A1" w14:paraId="154A7DE6" w14:textId="77777777" w:rsidTr="001D4849">
        <w:tc>
          <w:tcPr>
            <w:tcW w:w="3070" w:type="dxa"/>
          </w:tcPr>
          <w:p w14:paraId="154A7DE4" w14:textId="77777777" w:rsidR="00610266" w:rsidRPr="003836A1" w:rsidRDefault="00F95AB8" w:rsidP="003836A1">
            <w:pPr>
              <w:ind w:left="709"/>
              <w:jc w:val="both"/>
              <w:rPr>
                <w:rFonts w:ascii="Arial" w:eastAsia="Arial" w:hAnsi="Arial" w:cs="Arial"/>
              </w:rPr>
            </w:pPr>
            <w:r w:rsidRPr="003836A1">
              <w:rPr>
                <w:rFonts w:ascii="Arial" w:eastAsia="Arial" w:hAnsi="Arial" w:cs="Arial"/>
              </w:rPr>
              <w:t>Numeral 4</w:t>
            </w:r>
          </w:p>
        </w:tc>
        <w:tc>
          <w:tcPr>
            <w:tcW w:w="6097" w:type="dxa"/>
          </w:tcPr>
          <w:p w14:paraId="154A7DE5" w14:textId="77777777" w:rsidR="00610266" w:rsidRPr="003836A1" w:rsidRDefault="00F95AB8" w:rsidP="003836A1">
            <w:pPr>
              <w:ind w:left="316"/>
              <w:jc w:val="both"/>
              <w:rPr>
                <w:rFonts w:ascii="Arial" w:eastAsia="Arial" w:hAnsi="Arial" w:cs="Arial"/>
              </w:rPr>
            </w:pPr>
            <w:r w:rsidRPr="003836A1">
              <w:rPr>
                <w:rFonts w:ascii="Arial" w:eastAsia="Arial" w:hAnsi="Arial" w:cs="Arial"/>
              </w:rPr>
              <w:t>Multa General tipo 1.</w:t>
            </w:r>
            <w:r w:rsidRPr="003836A1">
              <w:rPr>
                <w:rFonts w:ascii="Arial" w:eastAsia="Arial" w:hAnsi="Arial" w:cs="Arial"/>
              </w:rPr>
              <w:br/>
            </w:r>
            <w:r w:rsidRPr="003836A1">
              <w:rPr>
                <w:rFonts w:ascii="Arial" w:eastAsia="Arial" w:hAnsi="Arial" w:cs="Arial"/>
                <w:b/>
              </w:rPr>
              <w:t>&lt;Numeral 4 CONDICIONALMENTE exequible&gt;</w:t>
            </w:r>
          </w:p>
        </w:tc>
      </w:tr>
      <w:tr w:rsidR="003836A1" w:rsidRPr="003836A1" w14:paraId="154A7DE9" w14:textId="77777777" w:rsidTr="001D4849">
        <w:tc>
          <w:tcPr>
            <w:tcW w:w="3070" w:type="dxa"/>
          </w:tcPr>
          <w:p w14:paraId="154A7DE7" w14:textId="77777777" w:rsidR="00610266" w:rsidRPr="003836A1" w:rsidRDefault="00F95AB8" w:rsidP="003836A1">
            <w:pPr>
              <w:ind w:left="709"/>
              <w:jc w:val="both"/>
              <w:rPr>
                <w:rFonts w:ascii="Arial" w:eastAsia="Arial" w:hAnsi="Arial" w:cs="Arial"/>
              </w:rPr>
            </w:pPr>
            <w:r w:rsidRPr="003836A1">
              <w:rPr>
                <w:rFonts w:ascii="Arial" w:eastAsia="Arial" w:hAnsi="Arial" w:cs="Arial"/>
                <w:b/>
              </w:rPr>
              <w:t>COMPORTAMIENTOS</w:t>
            </w:r>
          </w:p>
        </w:tc>
        <w:tc>
          <w:tcPr>
            <w:tcW w:w="6097" w:type="dxa"/>
          </w:tcPr>
          <w:p w14:paraId="154A7DE8" w14:textId="77777777" w:rsidR="00610266" w:rsidRPr="003836A1" w:rsidRDefault="00F95AB8" w:rsidP="003836A1">
            <w:pPr>
              <w:ind w:left="316"/>
              <w:jc w:val="both"/>
              <w:rPr>
                <w:rFonts w:ascii="Arial" w:eastAsia="Arial" w:hAnsi="Arial" w:cs="Arial"/>
              </w:rPr>
            </w:pPr>
            <w:r w:rsidRPr="003836A1">
              <w:rPr>
                <w:rFonts w:ascii="Arial" w:eastAsia="Arial" w:hAnsi="Arial" w:cs="Arial"/>
                <w:b/>
              </w:rPr>
              <w:t>MEDIDA CORRECTIVA A APLICAR DE MANERA GENERAL</w:t>
            </w:r>
          </w:p>
        </w:tc>
      </w:tr>
      <w:tr w:rsidR="003836A1" w:rsidRPr="003836A1" w14:paraId="154A7DEC" w14:textId="77777777" w:rsidTr="001D4849">
        <w:tc>
          <w:tcPr>
            <w:tcW w:w="3070" w:type="dxa"/>
          </w:tcPr>
          <w:p w14:paraId="154A7DEA" w14:textId="77777777" w:rsidR="00610266" w:rsidRPr="003836A1" w:rsidRDefault="00F95AB8" w:rsidP="003836A1">
            <w:pPr>
              <w:ind w:left="709"/>
              <w:jc w:val="both"/>
              <w:rPr>
                <w:rFonts w:ascii="Arial" w:eastAsia="Arial" w:hAnsi="Arial" w:cs="Arial"/>
              </w:rPr>
            </w:pPr>
            <w:r w:rsidRPr="003836A1">
              <w:rPr>
                <w:rFonts w:ascii="Arial" w:eastAsia="Arial" w:hAnsi="Arial" w:cs="Arial"/>
              </w:rPr>
              <w:t>Numeral 5</w:t>
            </w:r>
          </w:p>
        </w:tc>
        <w:tc>
          <w:tcPr>
            <w:tcW w:w="6097" w:type="dxa"/>
          </w:tcPr>
          <w:p w14:paraId="154A7DEB" w14:textId="77777777" w:rsidR="00610266" w:rsidRPr="003836A1" w:rsidRDefault="00F95AB8" w:rsidP="003836A1">
            <w:pPr>
              <w:ind w:left="316"/>
              <w:jc w:val="both"/>
              <w:rPr>
                <w:rFonts w:ascii="Arial" w:eastAsia="Arial" w:hAnsi="Arial" w:cs="Arial"/>
              </w:rPr>
            </w:pPr>
            <w:r w:rsidRPr="003836A1">
              <w:rPr>
                <w:rFonts w:ascii="Arial" w:eastAsia="Arial" w:hAnsi="Arial" w:cs="Arial"/>
              </w:rPr>
              <w:t>Multa General tipo 3; Reparación de daños materiales de muebles o inmuebles; Construcción, cerramiento, reparación o mantenimiento de inmueble.</w:t>
            </w:r>
          </w:p>
        </w:tc>
      </w:tr>
      <w:tr w:rsidR="003836A1" w:rsidRPr="003836A1" w14:paraId="154A7DEF" w14:textId="77777777" w:rsidTr="001D4849">
        <w:tc>
          <w:tcPr>
            <w:tcW w:w="3070" w:type="dxa"/>
          </w:tcPr>
          <w:p w14:paraId="154A7DED" w14:textId="77777777" w:rsidR="00610266" w:rsidRPr="003836A1" w:rsidRDefault="00F95AB8" w:rsidP="003836A1">
            <w:pPr>
              <w:ind w:left="709"/>
              <w:jc w:val="both"/>
              <w:rPr>
                <w:rFonts w:ascii="Arial" w:eastAsia="Arial" w:hAnsi="Arial" w:cs="Arial"/>
              </w:rPr>
            </w:pPr>
            <w:r w:rsidRPr="003836A1">
              <w:rPr>
                <w:rFonts w:ascii="Arial" w:eastAsia="Arial" w:hAnsi="Arial" w:cs="Arial"/>
              </w:rPr>
              <w:t>Numeral 6</w:t>
            </w:r>
          </w:p>
        </w:tc>
        <w:tc>
          <w:tcPr>
            <w:tcW w:w="6097" w:type="dxa"/>
          </w:tcPr>
          <w:p w14:paraId="154A7DEE" w14:textId="77777777" w:rsidR="00610266" w:rsidRPr="003836A1" w:rsidRDefault="00F95AB8" w:rsidP="003836A1">
            <w:pPr>
              <w:ind w:left="316"/>
              <w:jc w:val="both"/>
              <w:rPr>
                <w:rFonts w:ascii="Arial" w:eastAsia="Arial" w:hAnsi="Arial" w:cs="Arial"/>
              </w:rPr>
            </w:pPr>
            <w:r w:rsidRPr="003836A1">
              <w:rPr>
                <w:rFonts w:ascii="Arial" w:eastAsia="Arial" w:hAnsi="Arial" w:cs="Arial"/>
              </w:rPr>
              <w:t>Multa General tipo 4; Remoción de bienes.</w:t>
            </w:r>
          </w:p>
        </w:tc>
      </w:tr>
      <w:tr w:rsidR="003836A1" w:rsidRPr="003836A1" w14:paraId="154A7DF2" w14:textId="77777777" w:rsidTr="001D4849">
        <w:tc>
          <w:tcPr>
            <w:tcW w:w="3070" w:type="dxa"/>
          </w:tcPr>
          <w:p w14:paraId="154A7DF0" w14:textId="77777777" w:rsidR="00610266" w:rsidRPr="003836A1" w:rsidRDefault="00F95AB8" w:rsidP="003836A1">
            <w:pPr>
              <w:ind w:left="709"/>
              <w:jc w:val="both"/>
              <w:rPr>
                <w:rFonts w:ascii="Arial" w:eastAsia="Arial" w:hAnsi="Arial" w:cs="Arial"/>
              </w:rPr>
            </w:pPr>
            <w:r w:rsidRPr="003836A1">
              <w:rPr>
                <w:rFonts w:ascii="Arial" w:eastAsia="Arial" w:hAnsi="Arial" w:cs="Arial"/>
              </w:rPr>
              <w:t>Numeral 7</w:t>
            </w:r>
          </w:p>
        </w:tc>
        <w:tc>
          <w:tcPr>
            <w:tcW w:w="6097" w:type="dxa"/>
          </w:tcPr>
          <w:p w14:paraId="154A7DF1" w14:textId="77777777" w:rsidR="00610266" w:rsidRPr="003836A1" w:rsidRDefault="00F95AB8" w:rsidP="003836A1">
            <w:pPr>
              <w:ind w:left="316"/>
              <w:jc w:val="both"/>
              <w:rPr>
                <w:rFonts w:ascii="Arial" w:eastAsia="Arial" w:hAnsi="Arial" w:cs="Arial"/>
              </w:rPr>
            </w:pPr>
            <w:r w:rsidRPr="003836A1">
              <w:rPr>
                <w:rFonts w:ascii="Arial" w:eastAsia="Arial" w:hAnsi="Arial" w:cs="Arial"/>
              </w:rPr>
              <w:t>Multa General tipo 2; Destrucción de bien. Participación en programa comunitario o actividad pedagógica de convivencia y remisión a los Centros de Atención en Drogadicción (CAD) y Servicios de Farmacodependencia a que se refiere la Ley </w:t>
            </w:r>
            <w:hyperlink r:id="rId41" w:anchor="INICIO">
              <w:r w:rsidRPr="003836A1">
                <w:rPr>
                  <w:rFonts w:ascii="Arial" w:eastAsia="Arial" w:hAnsi="Arial" w:cs="Arial"/>
                  <w:u w:val="single"/>
                </w:rPr>
                <w:t>1566</w:t>
              </w:r>
            </w:hyperlink>
            <w:r w:rsidRPr="003836A1">
              <w:rPr>
                <w:rFonts w:ascii="Arial" w:eastAsia="Arial" w:hAnsi="Arial" w:cs="Arial"/>
              </w:rPr>
              <w:t> de 2012.</w:t>
            </w:r>
          </w:p>
        </w:tc>
      </w:tr>
      <w:tr w:rsidR="003836A1" w:rsidRPr="003836A1" w14:paraId="154A7DF5" w14:textId="77777777" w:rsidTr="001D4849">
        <w:tc>
          <w:tcPr>
            <w:tcW w:w="3070" w:type="dxa"/>
          </w:tcPr>
          <w:p w14:paraId="154A7DF3" w14:textId="77777777" w:rsidR="00610266" w:rsidRPr="003836A1" w:rsidRDefault="00F95AB8" w:rsidP="003836A1">
            <w:pPr>
              <w:ind w:left="709"/>
              <w:jc w:val="both"/>
              <w:rPr>
                <w:rFonts w:ascii="Arial" w:eastAsia="Arial" w:hAnsi="Arial" w:cs="Arial"/>
              </w:rPr>
            </w:pPr>
            <w:r w:rsidRPr="003836A1">
              <w:rPr>
                <w:rFonts w:ascii="Arial" w:eastAsia="Arial" w:hAnsi="Arial" w:cs="Arial"/>
              </w:rPr>
              <w:t>Numeral 8</w:t>
            </w:r>
          </w:p>
        </w:tc>
        <w:tc>
          <w:tcPr>
            <w:tcW w:w="6097" w:type="dxa"/>
          </w:tcPr>
          <w:p w14:paraId="154A7DF4" w14:textId="77777777" w:rsidR="00610266" w:rsidRPr="003836A1" w:rsidRDefault="00F95AB8" w:rsidP="003836A1">
            <w:pPr>
              <w:ind w:left="316"/>
              <w:jc w:val="both"/>
              <w:rPr>
                <w:rFonts w:ascii="Arial" w:eastAsia="Arial" w:hAnsi="Arial" w:cs="Arial"/>
              </w:rPr>
            </w:pPr>
            <w:r w:rsidRPr="003836A1">
              <w:rPr>
                <w:rFonts w:ascii="Arial" w:eastAsia="Arial" w:hAnsi="Arial" w:cs="Arial"/>
              </w:rPr>
              <w:t>Multa General tipo 2; Destrucción de bien.</w:t>
            </w:r>
          </w:p>
        </w:tc>
      </w:tr>
      <w:tr w:rsidR="003836A1" w:rsidRPr="003836A1" w14:paraId="154A7DF8" w14:textId="77777777" w:rsidTr="001D4849">
        <w:tc>
          <w:tcPr>
            <w:tcW w:w="3070" w:type="dxa"/>
          </w:tcPr>
          <w:p w14:paraId="154A7DF6" w14:textId="77777777" w:rsidR="00610266" w:rsidRPr="003836A1" w:rsidRDefault="00F95AB8" w:rsidP="003836A1">
            <w:pPr>
              <w:ind w:left="709"/>
              <w:jc w:val="both"/>
              <w:rPr>
                <w:rFonts w:ascii="Arial" w:eastAsia="Arial" w:hAnsi="Arial" w:cs="Arial"/>
              </w:rPr>
            </w:pPr>
            <w:r w:rsidRPr="003836A1">
              <w:rPr>
                <w:rFonts w:ascii="Arial" w:eastAsia="Arial" w:hAnsi="Arial" w:cs="Arial"/>
              </w:rPr>
              <w:t>Numeral 9</w:t>
            </w:r>
          </w:p>
        </w:tc>
        <w:tc>
          <w:tcPr>
            <w:tcW w:w="6097" w:type="dxa"/>
          </w:tcPr>
          <w:p w14:paraId="154A7DF7" w14:textId="77777777" w:rsidR="00610266" w:rsidRPr="003836A1" w:rsidRDefault="00F95AB8" w:rsidP="003836A1">
            <w:pPr>
              <w:ind w:left="316"/>
              <w:jc w:val="both"/>
              <w:rPr>
                <w:rFonts w:ascii="Arial" w:eastAsia="Arial" w:hAnsi="Arial" w:cs="Arial"/>
              </w:rPr>
            </w:pPr>
            <w:r w:rsidRPr="003836A1">
              <w:rPr>
                <w:rFonts w:ascii="Arial" w:eastAsia="Arial" w:hAnsi="Arial" w:cs="Arial"/>
              </w:rPr>
              <w:t>Multa General tipo 2; Reparación de daños materiales de muebles o inmuebles; Construcción, cerramiento, reparación o mantenimiento de inmueble.</w:t>
            </w:r>
          </w:p>
        </w:tc>
      </w:tr>
      <w:tr w:rsidR="003836A1" w:rsidRPr="003836A1" w14:paraId="154A7DFB" w14:textId="77777777" w:rsidTr="001D4849">
        <w:tc>
          <w:tcPr>
            <w:tcW w:w="3070" w:type="dxa"/>
          </w:tcPr>
          <w:p w14:paraId="154A7DF9" w14:textId="77777777" w:rsidR="00610266" w:rsidRPr="003836A1" w:rsidRDefault="00F95AB8" w:rsidP="003836A1">
            <w:pPr>
              <w:ind w:left="709"/>
              <w:jc w:val="both"/>
              <w:rPr>
                <w:rFonts w:ascii="Arial" w:eastAsia="Arial" w:hAnsi="Arial" w:cs="Arial"/>
              </w:rPr>
            </w:pPr>
            <w:r w:rsidRPr="003836A1">
              <w:rPr>
                <w:rFonts w:ascii="Arial" w:eastAsia="Arial" w:hAnsi="Arial" w:cs="Arial"/>
              </w:rPr>
              <w:t>Numeral 10</w:t>
            </w:r>
          </w:p>
        </w:tc>
        <w:tc>
          <w:tcPr>
            <w:tcW w:w="6097" w:type="dxa"/>
          </w:tcPr>
          <w:p w14:paraId="154A7DFA" w14:textId="77777777" w:rsidR="00610266" w:rsidRPr="003836A1" w:rsidRDefault="00F95AB8" w:rsidP="003836A1">
            <w:pPr>
              <w:ind w:left="709" w:hanging="393"/>
              <w:jc w:val="both"/>
              <w:rPr>
                <w:rFonts w:ascii="Arial" w:eastAsia="Arial" w:hAnsi="Arial" w:cs="Arial"/>
              </w:rPr>
            </w:pPr>
            <w:r w:rsidRPr="003836A1">
              <w:rPr>
                <w:rFonts w:ascii="Arial" w:eastAsia="Arial" w:hAnsi="Arial" w:cs="Arial"/>
              </w:rPr>
              <w:t>Multa General tipo 4.</w:t>
            </w:r>
          </w:p>
        </w:tc>
      </w:tr>
      <w:tr w:rsidR="003836A1" w:rsidRPr="003836A1" w14:paraId="154A7DFE" w14:textId="77777777" w:rsidTr="001D4849">
        <w:tc>
          <w:tcPr>
            <w:tcW w:w="3070" w:type="dxa"/>
          </w:tcPr>
          <w:p w14:paraId="154A7DFC" w14:textId="77777777" w:rsidR="00610266" w:rsidRPr="003836A1" w:rsidRDefault="00F95AB8" w:rsidP="003836A1">
            <w:pPr>
              <w:ind w:left="709"/>
              <w:jc w:val="both"/>
              <w:rPr>
                <w:rFonts w:ascii="Arial" w:eastAsia="Arial" w:hAnsi="Arial" w:cs="Arial"/>
              </w:rPr>
            </w:pPr>
            <w:r w:rsidRPr="003836A1">
              <w:rPr>
                <w:rFonts w:ascii="Arial" w:eastAsia="Arial" w:hAnsi="Arial" w:cs="Arial"/>
              </w:rPr>
              <w:t>Numeral 11</w:t>
            </w:r>
          </w:p>
        </w:tc>
        <w:tc>
          <w:tcPr>
            <w:tcW w:w="6097" w:type="dxa"/>
          </w:tcPr>
          <w:p w14:paraId="154A7DFD" w14:textId="77777777" w:rsidR="00610266" w:rsidRPr="003836A1" w:rsidRDefault="00F95AB8" w:rsidP="003836A1">
            <w:pPr>
              <w:ind w:left="175"/>
              <w:jc w:val="both"/>
              <w:rPr>
                <w:rFonts w:ascii="Arial" w:eastAsia="Arial" w:hAnsi="Arial" w:cs="Arial"/>
              </w:rPr>
            </w:pPr>
            <w:r w:rsidRPr="003836A1">
              <w:rPr>
                <w:rFonts w:ascii="Arial" w:eastAsia="Arial" w:hAnsi="Arial" w:cs="Arial"/>
              </w:rPr>
              <w:t>Multa General tipo 4; Participación en programa comunitario o actividad pedagógica de convivencia.</w:t>
            </w:r>
            <w:r w:rsidRPr="003836A1">
              <w:rPr>
                <w:rFonts w:ascii="Arial" w:eastAsia="Arial" w:hAnsi="Arial" w:cs="Arial"/>
              </w:rPr>
              <w:br/>
            </w:r>
            <w:r w:rsidRPr="003836A1">
              <w:rPr>
                <w:rFonts w:ascii="Arial" w:eastAsia="Arial" w:hAnsi="Arial" w:cs="Arial"/>
                <w:b/>
              </w:rPr>
              <w:t>&lt;Medidas correctivas al Numeral 11 CONDICIONALMENTE exequibles&gt;</w:t>
            </w:r>
          </w:p>
        </w:tc>
      </w:tr>
      <w:tr w:rsidR="003836A1" w:rsidRPr="003836A1" w14:paraId="154A7E01" w14:textId="77777777" w:rsidTr="001D4849">
        <w:tc>
          <w:tcPr>
            <w:tcW w:w="3070" w:type="dxa"/>
          </w:tcPr>
          <w:p w14:paraId="154A7DFF" w14:textId="77777777" w:rsidR="00610266" w:rsidRPr="003836A1" w:rsidRDefault="00F95AB8" w:rsidP="003836A1">
            <w:pPr>
              <w:ind w:left="709"/>
              <w:jc w:val="both"/>
              <w:rPr>
                <w:rFonts w:ascii="Arial" w:eastAsia="Arial" w:hAnsi="Arial" w:cs="Arial"/>
              </w:rPr>
            </w:pPr>
            <w:r w:rsidRPr="003836A1">
              <w:rPr>
                <w:rFonts w:ascii="Arial" w:eastAsia="Arial" w:hAnsi="Arial" w:cs="Arial"/>
              </w:rPr>
              <w:t>Numeral 12</w:t>
            </w:r>
          </w:p>
        </w:tc>
        <w:tc>
          <w:tcPr>
            <w:tcW w:w="6097" w:type="dxa"/>
          </w:tcPr>
          <w:p w14:paraId="154A7E00" w14:textId="77777777" w:rsidR="00610266" w:rsidRPr="003836A1" w:rsidRDefault="00F95AB8" w:rsidP="003836A1">
            <w:pPr>
              <w:ind w:left="175"/>
              <w:jc w:val="both"/>
              <w:rPr>
                <w:rFonts w:ascii="Arial" w:eastAsia="Arial" w:hAnsi="Arial" w:cs="Arial"/>
              </w:rPr>
            </w:pPr>
            <w:r w:rsidRPr="003836A1">
              <w:rPr>
                <w:rFonts w:ascii="Arial" w:eastAsia="Arial" w:hAnsi="Arial" w:cs="Arial"/>
              </w:rPr>
              <w:t>Multa especial por contaminación visual; Reparación de daños materiales de muebles o inmuebles; Construcción, cerramiento, reparación o mantenimiento de inmueble; Remoción de bienes; Destrucción de bien.</w:t>
            </w:r>
          </w:p>
        </w:tc>
      </w:tr>
      <w:tr w:rsidR="003836A1" w:rsidRPr="003836A1" w14:paraId="154A7E04" w14:textId="77777777" w:rsidTr="001D4849">
        <w:tc>
          <w:tcPr>
            <w:tcW w:w="3070" w:type="dxa"/>
          </w:tcPr>
          <w:p w14:paraId="154A7E02" w14:textId="77777777" w:rsidR="00610266" w:rsidRPr="003836A1" w:rsidRDefault="00F95AB8" w:rsidP="003836A1">
            <w:pPr>
              <w:ind w:left="709"/>
              <w:jc w:val="both"/>
              <w:rPr>
                <w:rFonts w:ascii="Arial" w:eastAsia="Arial" w:hAnsi="Arial" w:cs="Arial"/>
              </w:rPr>
            </w:pPr>
            <w:r w:rsidRPr="003836A1">
              <w:rPr>
                <w:rFonts w:ascii="Arial" w:eastAsia="Arial" w:hAnsi="Arial" w:cs="Arial"/>
              </w:rPr>
              <w:t>Numeral 13</w:t>
            </w:r>
          </w:p>
        </w:tc>
        <w:tc>
          <w:tcPr>
            <w:tcW w:w="6097" w:type="dxa"/>
          </w:tcPr>
          <w:p w14:paraId="154A7E03" w14:textId="77777777" w:rsidR="00610266" w:rsidRPr="003836A1" w:rsidRDefault="00F95AB8" w:rsidP="003836A1">
            <w:pPr>
              <w:ind w:left="175"/>
              <w:jc w:val="both"/>
              <w:rPr>
                <w:rFonts w:ascii="Arial" w:eastAsia="Arial" w:hAnsi="Arial" w:cs="Arial"/>
              </w:rPr>
            </w:pPr>
            <w:r w:rsidRPr="003836A1">
              <w:rPr>
                <w:rFonts w:ascii="Arial" w:eastAsia="Arial" w:hAnsi="Arial" w:cs="Arial"/>
              </w:rPr>
              <w:t>Multa General tipo 4; Destrucción del bien.</w:t>
            </w:r>
            <w:r w:rsidRPr="003836A1">
              <w:rPr>
                <w:rFonts w:ascii="Arial" w:eastAsia="Arial" w:hAnsi="Arial" w:cs="Arial"/>
              </w:rPr>
              <w:br/>
              <w:t>&lt;Numeral 13 adicionado por el artículo </w:t>
            </w:r>
            <w:hyperlink r:id="rId42" w:anchor="3">
              <w:r w:rsidRPr="003836A1">
                <w:rPr>
                  <w:rFonts w:ascii="Arial" w:eastAsia="Arial" w:hAnsi="Arial" w:cs="Arial"/>
                  <w:u w:val="single"/>
                </w:rPr>
                <w:t>3</w:t>
              </w:r>
            </w:hyperlink>
            <w:r w:rsidRPr="003836A1">
              <w:rPr>
                <w:rFonts w:ascii="Arial" w:eastAsia="Arial" w:hAnsi="Arial" w:cs="Arial"/>
              </w:rPr>
              <w:t> de la Ley 2000 de 2019&gt;</w:t>
            </w:r>
          </w:p>
        </w:tc>
      </w:tr>
      <w:tr w:rsidR="003836A1" w:rsidRPr="003836A1" w14:paraId="154A7E07" w14:textId="77777777" w:rsidTr="001D4849">
        <w:tc>
          <w:tcPr>
            <w:tcW w:w="3070" w:type="dxa"/>
          </w:tcPr>
          <w:p w14:paraId="154A7E05" w14:textId="77777777" w:rsidR="00610266" w:rsidRPr="003836A1" w:rsidRDefault="00F95AB8" w:rsidP="003836A1">
            <w:pPr>
              <w:ind w:left="709"/>
              <w:jc w:val="both"/>
              <w:rPr>
                <w:rFonts w:ascii="Arial" w:eastAsia="Arial" w:hAnsi="Arial" w:cs="Arial"/>
              </w:rPr>
            </w:pPr>
            <w:r w:rsidRPr="003836A1">
              <w:rPr>
                <w:rFonts w:ascii="Arial" w:eastAsia="Arial" w:hAnsi="Arial" w:cs="Arial"/>
              </w:rPr>
              <w:t>Numeral 14</w:t>
            </w:r>
          </w:p>
        </w:tc>
        <w:tc>
          <w:tcPr>
            <w:tcW w:w="6097" w:type="dxa"/>
          </w:tcPr>
          <w:p w14:paraId="154A7E06" w14:textId="77777777" w:rsidR="00610266" w:rsidRPr="003836A1" w:rsidRDefault="00F95AB8" w:rsidP="003836A1">
            <w:pPr>
              <w:ind w:left="175"/>
              <w:jc w:val="both"/>
              <w:rPr>
                <w:rFonts w:ascii="Arial" w:eastAsia="Arial" w:hAnsi="Arial" w:cs="Arial"/>
              </w:rPr>
            </w:pPr>
            <w:r w:rsidRPr="003836A1">
              <w:rPr>
                <w:rFonts w:ascii="Arial" w:eastAsia="Arial" w:hAnsi="Arial" w:cs="Arial"/>
              </w:rPr>
              <w:t>Multa General tipo 4; Destrucción del bien.</w:t>
            </w:r>
            <w:r w:rsidRPr="003836A1">
              <w:rPr>
                <w:rFonts w:ascii="Arial" w:eastAsia="Arial" w:hAnsi="Arial" w:cs="Arial"/>
              </w:rPr>
              <w:br/>
              <w:t>&lt;Numeral 14 adicionado por el artículo </w:t>
            </w:r>
            <w:hyperlink r:id="rId43" w:anchor="3">
              <w:r w:rsidRPr="003836A1">
                <w:rPr>
                  <w:rFonts w:ascii="Arial" w:eastAsia="Arial" w:hAnsi="Arial" w:cs="Arial"/>
                  <w:u w:val="single"/>
                </w:rPr>
                <w:t>3</w:t>
              </w:r>
            </w:hyperlink>
            <w:r w:rsidRPr="003836A1">
              <w:rPr>
                <w:rFonts w:ascii="Arial" w:eastAsia="Arial" w:hAnsi="Arial" w:cs="Arial"/>
              </w:rPr>
              <w:t> de la Ley 2000 de 2019&gt;</w:t>
            </w:r>
          </w:p>
        </w:tc>
      </w:tr>
    </w:tbl>
    <w:p w14:paraId="154A7E08" w14:textId="77777777" w:rsidR="00610266" w:rsidRPr="003836A1" w:rsidRDefault="00F95AB8" w:rsidP="003836A1">
      <w:pPr>
        <w:widowControl/>
        <w:pBdr>
          <w:top w:val="nil"/>
          <w:left w:val="nil"/>
          <w:bottom w:val="nil"/>
          <w:right w:val="nil"/>
          <w:between w:val="nil"/>
        </w:pBdr>
        <w:spacing w:before="280" w:after="280"/>
        <w:ind w:left="709"/>
        <w:jc w:val="both"/>
        <w:rPr>
          <w:rFonts w:ascii="Arial" w:eastAsia="Arial" w:hAnsi="Arial" w:cs="Arial"/>
        </w:rPr>
      </w:pPr>
      <w:r w:rsidRPr="003836A1">
        <w:rPr>
          <w:rFonts w:ascii="Arial" w:eastAsia="Arial" w:hAnsi="Arial" w:cs="Arial"/>
          <w:b/>
        </w:rPr>
        <w:t>PARÁGRAFO 3o.</w:t>
      </w:r>
      <w:r w:rsidRPr="003836A1">
        <w:rPr>
          <w:rFonts w:ascii="Arial" w:eastAsia="Arial" w:hAnsi="Arial" w:cs="Arial"/>
        </w:rPr>
        <w:t> &lt;Parágrafo CONDICIONALMENTE exequible&gt; Cuando el comportamiento de ocupación indebida del espacio público a que se refiere el numeral 4 del presente artículo, se realice dos (2) veces o más, se impondrá, además de la medida correctiva prevista en el parágrafo anterior, el decomiso o la destrucción del bien con que se incurra en tal ocupación.</w:t>
      </w:r>
    </w:p>
    <w:p w14:paraId="154A7E09" w14:textId="77777777" w:rsidR="00610266" w:rsidRPr="003836A1" w:rsidRDefault="00F95AB8" w:rsidP="003836A1">
      <w:pPr>
        <w:widowControl/>
        <w:pBdr>
          <w:top w:val="nil"/>
          <w:left w:val="nil"/>
          <w:bottom w:val="nil"/>
          <w:right w:val="nil"/>
          <w:between w:val="nil"/>
        </w:pBdr>
        <w:spacing w:before="280" w:after="280"/>
        <w:ind w:left="709"/>
        <w:jc w:val="both"/>
        <w:rPr>
          <w:rFonts w:ascii="Arial" w:eastAsia="Arial" w:hAnsi="Arial" w:cs="Arial"/>
        </w:rPr>
      </w:pPr>
      <w:r w:rsidRPr="003836A1">
        <w:rPr>
          <w:rFonts w:ascii="Arial" w:eastAsia="Arial" w:hAnsi="Arial" w:cs="Arial"/>
          <w:b/>
        </w:rPr>
        <w:t>PARÁGRAFO 4o.</w:t>
      </w:r>
      <w:r w:rsidRPr="003836A1">
        <w:rPr>
          <w:rFonts w:ascii="Arial" w:eastAsia="Arial" w:hAnsi="Arial" w:cs="Arial"/>
        </w:rPr>
        <w:t> En relación con el numeral 9 del presente artículo bajo ninguna circunstancia el ejercicio del grafiti, justificará por sí solo, el uso de la fuerza, ni la incautación de los instrumentos para su realización.</w:t>
      </w:r>
    </w:p>
    <w:p w14:paraId="154A7E0A"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highlight w:val="white"/>
        </w:rPr>
      </w:pPr>
      <w:r w:rsidRPr="003836A1">
        <w:rPr>
          <w:rFonts w:ascii="Arial" w:eastAsia="Arial" w:hAnsi="Arial" w:cs="Arial"/>
          <w:b/>
        </w:rPr>
        <w:t>Artículo 59. Comportamientos que ponen en riesgo la vida e integridad de las personas en las actividades que involucran aglomeraciones de público no complejas. </w:t>
      </w:r>
      <w:hyperlink r:id="rId44" w:anchor="6">
        <w:r w:rsidRPr="003836A1">
          <w:rPr>
            <w:rFonts w:ascii="Arial" w:eastAsia="Arial" w:hAnsi="Arial" w:cs="Arial"/>
            <w:u w:val="single"/>
          </w:rPr>
          <w:t>Corregido por el art. 6, Decreto Nacional 555 de 2017.</w:t>
        </w:r>
      </w:hyperlink>
      <w:r w:rsidRPr="003836A1">
        <w:rPr>
          <w:rFonts w:ascii="Arial" w:eastAsia="Arial" w:hAnsi="Arial" w:cs="Arial"/>
          <w:b/>
        </w:rPr>
        <w:t> </w:t>
      </w:r>
      <w:r w:rsidRPr="003836A1">
        <w:rPr>
          <w:rFonts w:ascii="Arial" w:eastAsia="Arial" w:hAnsi="Arial" w:cs="Arial"/>
          <w:i/>
        </w:rPr>
        <w:t>&lt;El nuevo texto es el siguiente&gt; </w:t>
      </w:r>
      <w:r w:rsidRPr="003836A1">
        <w:rPr>
          <w:rFonts w:ascii="Arial" w:eastAsia="Arial" w:hAnsi="Arial" w:cs="Arial"/>
          <w:highlight w:val="white"/>
        </w:rPr>
        <w:t>Los siguientes comportamientos ponen en riesgo la vida e integridad de las personas en las actividades que involucran aglomeraciones de público no complejas y por tanto no deben realizarse: </w:t>
      </w:r>
    </w:p>
    <w:p w14:paraId="154A7E0B" w14:textId="77777777" w:rsidR="00610266" w:rsidRPr="003836A1" w:rsidRDefault="00610266" w:rsidP="003836A1">
      <w:pPr>
        <w:widowControl/>
        <w:pBdr>
          <w:top w:val="nil"/>
          <w:left w:val="nil"/>
          <w:bottom w:val="nil"/>
          <w:right w:val="nil"/>
          <w:between w:val="nil"/>
        </w:pBdr>
        <w:shd w:val="clear" w:color="auto" w:fill="FFFFFF"/>
        <w:jc w:val="both"/>
        <w:rPr>
          <w:rFonts w:ascii="Arial" w:eastAsia="Arial" w:hAnsi="Arial" w:cs="Arial"/>
        </w:rPr>
      </w:pPr>
    </w:p>
    <w:p w14:paraId="154A7E0C" w14:textId="77777777" w:rsidR="00610266" w:rsidRPr="003836A1" w:rsidRDefault="00F95AB8" w:rsidP="003836A1">
      <w:pPr>
        <w:shd w:val="clear" w:color="auto" w:fill="FFFFFF"/>
        <w:ind w:left="709"/>
        <w:jc w:val="both"/>
        <w:rPr>
          <w:rFonts w:ascii="Arial" w:eastAsia="Arial" w:hAnsi="Arial" w:cs="Arial"/>
          <w:b/>
          <w:u w:val="single"/>
        </w:rPr>
      </w:pPr>
      <w:r w:rsidRPr="003836A1">
        <w:rPr>
          <w:rFonts w:ascii="Arial" w:eastAsia="Arial" w:hAnsi="Arial" w:cs="Arial"/>
          <w:b/>
          <w:u w:val="single"/>
        </w:rPr>
        <w:t>1. Realizar acciones que constituyan un riesgo para la propia vida o la de terceros, antes, durante o después de tales actividades.</w:t>
      </w:r>
    </w:p>
    <w:p w14:paraId="154A7E0D"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0E"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2. No utilizar los implementos de seguridad en la actividad que los exige.</w:t>
      </w:r>
    </w:p>
    <w:p w14:paraId="154A7E0F"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10"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3. Incumplir con las instrucciones o reglamentos específicos de los organizadores o responsables de la actividad o desatender las recomendaciones de los grupos de logística en lo que tiene que ver con la ubicación y tránsito de lugares no autorizados para el público.</w:t>
      </w:r>
    </w:p>
    <w:p w14:paraId="154A7E11"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12"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4. Carecer o no proporcionar los implementos de seguridad exigidos por la actividad, o proporcionarlos en mal estado de funcionamiento.</w:t>
      </w:r>
    </w:p>
    <w:p w14:paraId="154A7E13"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14"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5. Incumplir las disposiciones legales o la reglamentación distrital o municipal pertinente.</w:t>
      </w:r>
    </w:p>
    <w:p w14:paraId="154A7E15"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16"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6. No respetar la asignación de la silletería en caso de haberla.</w:t>
      </w:r>
    </w:p>
    <w:p w14:paraId="154A7E17"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18"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7. Ingresar o introducir niños, niñas o adolescentes a los actos o eventos que puedan causar daño a su integridad o en los cuales exista previa restricción de edad por parte de las autoridades de policía, o esté prohibido su ingreso por las normas vigentes.</w:t>
      </w:r>
    </w:p>
    <w:p w14:paraId="154A7E19"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1A"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8. Invadir los espacios no abiertos al público.</w:t>
      </w:r>
    </w:p>
    <w:p w14:paraId="154A7E1B"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1C"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9. Quienes, al desplazarse a un acto o evento, o durante el desarrollo del mismo, en el recinto o en sus alrededores, porten, consuman, o estén bajo los efectos de sustancias psicoactivas, alcohólicas o sustancias combinadas química o físicamente, que produzcan estados irregulares en el cuerpo humano y estén prohibidas por las normas vigentes, o por la reglamentación expedida de conformidad con el artículo </w:t>
      </w:r>
      <w:hyperlink r:id="rId45" w:anchor="47">
        <w:r w:rsidRPr="003836A1">
          <w:rPr>
            <w:rFonts w:ascii="Arial" w:eastAsia="Arial" w:hAnsi="Arial" w:cs="Arial"/>
            <w:u w:val="single"/>
          </w:rPr>
          <w:t>47</w:t>
        </w:r>
      </w:hyperlink>
      <w:r w:rsidRPr="003836A1">
        <w:rPr>
          <w:rFonts w:ascii="Arial" w:eastAsia="Arial" w:hAnsi="Arial" w:cs="Arial"/>
        </w:rPr>
        <w:t> del presente Código.</w:t>
      </w:r>
    </w:p>
    <w:p w14:paraId="154A7E1D" w14:textId="77777777" w:rsidR="00610266" w:rsidRPr="003836A1" w:rsidRDefault="00610266" w:rsidP="003836A1">
      <w:pPr>
        <w:shd w:val="clear" w:color="auto" w:fill="FFFFFF"/>
        <w:ind w:left="709"/>
        <w:jc w:val="both"/>
        <w:rPr>
          <w:rFonts w:ascii="Arial" w:eastAsia="Arial" w:hAnsi="Arial" w:cs="Arial"/>
        </w:rPr>
      </w:pPr>
    </w:p>
    <w:p w14:paraId="154A7E1E"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10. Pretender ingresar, o estar en posesión o tenencia de cualquier tipo de arma u objetos prohibidos por las normas vigentes, por el alcalde o su delegado.</w:t>
      </w:r>
    </w:p>
    <w:p w14:paraId="154A7E1F" w14:textId="77777777" w:rsidR="00610266" w:rsidRPr="003836A1" w:rsidRDefault="00F95AB8" w:rsidP="003836A1">
      <w:pPr>
        <w:shd w:val="clear" w:color="auto" w:fill="FFFFFF"/>
        <w:ind w:left="426"/>
        <w:jc w:val="both"/>
        <w:rPr>
          <w:rFonts w:ascii="Arial" w:eastAsia="Arial" w:hAnsi="Arial" w:cs="Arial"/>
        </w:rPr>
      </w:pPr>
      <w:r w:rsidRPr="003836A1">
        <w:rPr>
          <w:rFonts w:ascii="Arial" w:eastAsia="Arial" w:hAnsi="Arial" w:cs="Arial"/>
        </w:rPr>
        <w:t> </w:t>
      </w:r>
    </w:p>
    <w:p w14:paraId="154A7E20" w14:textId="77777777" w:rsidR="00610266" w:rsidRPr="003836A1" w:rsidRDefault="00F95AB8" w:rsidP="003836A1">
      <w:pPr>
        <w:shd w:val="clear" w:color="auto" w:fill="FFFFFF"/>
        <w:ind w:left="426"/>
        <w:jc w:val="both"/>
        <w:rPr>
          <w:rFonts w:ascii="Arial" w:eastAsia="Arial" w:hAnsi="Arial" w:cs="Arial"/>
        </w:rPr>
      </w:pPr>
      <w:r w:rsidRPr="003836A1">
        <w:rPr>
          <w:rFonts w:ascii="Arial" w:eastAsia="Arial" w:hAnsi="Arial" w:cs="Arial"/>
          <w:b/>
        </w:rPr>
        <w:t>Parágrafo. </w:t>
      </w:r>
      <w:r w:rsidRPr="003836A1">
        <w:rPr>
          <w:rFonts w:ascii="Arial" w:eastAsia="Arial" w:hAnsi="Arial" w:cs="Arial"/>
        </w:rPr>
        <w:t>Quien incurra en uno o más de los comportamientos antes señalados, será objeto de la aplicación de las siguientes medidas:</w:t>
      </w:r>
    </w:p>
    <w:p w14:paraId="154A7E21" w14:textId="77777777" w:rsidR="00610266" w:rsidRPr="003836A1" w:rsidRDefault="00F95AB8" w:rsidP="003836A1">
      <w:pPr>
        <w:shd w:val="clear" w:color="auto" w:fill="FFFFFF"/>
        <w:ind w:left="426"/>
        <w:jc w:val="both"/>
        <w:rPr>
          <w:rFonts w:ascii="Arial" w:eastAsia="Arial" w:hAnsi="Arial" w:cs="Arial"/>
        </w:rPr>
      </w:pPr>
      <w:r w:rsidRPr="003836A1">
        <w:rPr>
          <w:rFonts w:ascii="Arial" w:eastAsia="Arial" w:hAnsi="Arial" w:cs="Arial"/>
        </w:rPr>
        <w:t> </w:t>
      </w:r>
    </w:p>
    <w:tbl>
      <w:tblPr>
        <w:tblStyle w:val="a3"/>
        <w:tblW w:w="8212" w:type="dxa"/>
        <w:jc w:val="center"/>
        <w:tblInd w:w="0" w:type="dxa"/>
        <w:tblLayout w:type="fixed"/>
        <w:tblLook w:val="0400" w:firstRow="0" w:lastRow="0" w:firstColumn="0" w:lastColumn="0" w:noHBand="0" w:noVBand="1"/>
      </w:tblPr>
      <w:tblGrid>
        <w:gridCol w:w="2786"/>
        <w:gridCol w:w="5426"/>
      </w:tblGrid>
      <w:tr w:rsidR="003836A1" w:rsidRPr="003836A1" w14:paraId="154A7E24" w14:textId="77777777" w:rsidTr="001D4849">
        <w:trPr>
          <w:trHeight w:val="222"/>
          <w:jc w:val="center"/>
        </w:trPr>
        <w:tc>
          <w:tcPr>
            <w:tcW w:w="2786" w:type="dxa"/>
            <w:tcBorders>
              <w:top w:val="single" w:sz="8" w:space="0" w:color="181717"/>
              <w:left w:val="single" w:sz="8" w:space="0" w:color="181717"/>
              <w:bottom w:val="single" w:sz="8" w:space="0" w:color="181717"/>
              <w:right w:val="single" w:sz="8" w:space="0" w:color="181717"/>
            </w:tcBorders>
            <w:shd w:val="clear" w:color="auto" w:fill="auto"/>
            <w:tcMar>
              <w:top w:w="57" w:type="dxa"/>
              <w:left w:w="57" w:type="dxa"/>
              <w:bottom w:w="0" w:type="dxa"/>
              <w:right w:w="17" w:type="dxa"/>
            </w:tcMar>
          </w:tcPr>
          <w:p w14:paraId="154A7E22" w14:textId="77777777" w:rsidR="00610266" w:rsidRPr="003836A1" w:rsidRDefault="00F95AB8" w:rsidP="003836A1">
            <w:pPr>
              <w:ind w:left="426"/>
              <w:jc w:val="both"/>
              <w:rPr>
                <w:rFonts w:ascii="Arial" w:eastAsia="Arial" w:hAnsi="Arial" w:cs="Arial"/>
              </w:rPr>
            </w:pPr>
            <w:r w:rsidRPr="003836A1">
              <w:rPr>
                <w:rFonts w:ascii="Arial" w:eastAsia="Arial" w:hAnsi="Arial" w:cs="Arial"/>
                <w:b/>
              </w:rPr>
              <w:t>COMPORTAMIENTOS</w:t>
            </w:r>
          </w:p>
        </w:tc>
        <w:tc>
          <w:tcPr>
            <w:tcW w:w="5426" w:type="dxa"/>
            <w:tcBorders>
              <w:top w:val="single" w:sz="8" w:space="0" w:color="181717"/>
              <w:left w:val="nil"/>
              <w:bottom w:val="single" w:sz="8" w:space="0" w:color="181717"/>
              <w:right w:val="single" w:sz="8" w:space="0" w:color="181717"/>
            </w:tcBorders>
            <w:shd w:val="clear" w:color="auto" w:fill="auto"/>
            <w:tcMar>
              <w:top w:w="57" w:type="dxa"/>
              <w:left w:w="57" w:type="dxa"/>
              <w:bottom w:w="0" w:type="dxa"/>
              <w:right w:w="17" w:type="dxa"/>
            </w:tcMar>
          </w:tcPr>
          <w:p w14:paraId="154A7E23" w14:textId="77777777" w:rsidR="00610266" w:rsidRPr="003836A1" w:rsidRDefault="00F95AB8" w:rsidP="003836A1">
            <w:pPr>
              <w:ind w:left="117"/>
              <w:jc w:val="both"/>
              <w:rPr>
                <w:rFonts w:ascii="Arial" w:eastAsia="Arial" w:hAnsi="Arial" w:cs="Arial"/>
              </w:rPr>
            </w:pPr>
            <w:r w:rsidRPr="003836A1">
              <w:rPr>
                <w:rFonts w:ascii="Arial" w:eastAsia="Arial" w:hAnsi="Arial" w:cs="Arial"/>
                <w:b/>
              </w:rPr>
              <w:t>MEDIDA CORRECTIVA A APLICAR DE MANERA GENERAL</w:t>
            </w:r>
          </w:p>
        </w:tc>
      </w:tr>
      <w:tr w:rsidR="003836A1" w:rsidRPr="003836A1" w14:paraId="154A7E27" w14:textId="77777777" w:rsidTr="001D4849">
        <w:trPr>
          <w:trHeight w:val="584"/>
          <w:jc w:val="center"/>
        </w:trPr>
        <w:tc>
          <w:tcPr>
            <w:tcW w:w="2786"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tcPr>
          <w:p w14:paraId="154A7E25" w14:textId="77777777" w:rsidR="00610266" w:rsidRPr="003836A1" w:rsidRDefault="00F95AB8" w:rsidP="003836A1">
            <w:pPr>
              <w:ind w:left="426"/>
              <w:jc w:val="both"/>
              <w:rPr>
                <w:rFonts w:ascii="Arial" w:eastAsia="Arial" w:hAnsi="Arial" w:cs="Arial"/>
              </w:rPr>
            </w:pPr>
            <w:r w:rsidRPr="003836A1">
              <w:rPr>
                <w:rFonts w:ascii="Arial" w:eastAsia="Arial" w:hAnsi="Arial" w:cs="Arial"/>
              </w:rPr>
              <w:t>Numeral 1</w:t>
            </w:r>
          </w:p>
        </w:tc>
        <w:tc>
          <w:tcPr>
            <w:tcW w:w="5426" w:type="dxa"/>
            <w:tcBorders>
              <w:top w:val="nil"/>
              <w:left w:val="nil"/>
              <w:bottom w:val="single" w:sz="8" w:space="0" w:color="181717"/>
              <w:right w:val="single" w:sz="8" w:space="0" w:color="181717"/>
            </w:tcBorders>
            <w:shd w:val="clear" w:color="auto" w:fill="auto"/>
            <w:tcMar>
              <w:top w:w="57" w:type="dxa"/>
              <w:left w:w="57" w:type="dxa"/>
              <w:bottom w:w="0" w:type="dxa"/>
              <w:right w:w="17" w:type="dxa"/>
            </w:tcMar>
          </w:tcPr>
          <w:p w14:paraId="154A7E26" w14:textId="77777777" w:rsidR="00610266" w:rsidRPr="003836A1" w:rsidRDefault="00F95AB8" w:rsidP="003836A1">
            <w:pPr>
              <w:ind w:left="117"/>
              <w:jc w:val="both"/>
              <w:rPr>
                <w:rFonts w:ascii="Arial" w:eastAsia="Arial" w:hAnsi="Arial" w:cs="Arial"/>
              </w:rPr>
            </w:pPr>
            <w:r w:rsidRPr="003836A1">
              <w:rPr>
                <w:rFonts w:ascii="Arial" w:eastAsia="Arial" w:hAnsi="Arial" w:cs="Arial"/>
              </w:rPr>
              <w:t>Prohibición de ingreso a actividad que involucra aglomeraciones de público complejas o no complejas. Participación en programa comunitario o actividad pedagógica de convivencia.</w:t>
            </w:r>
          </w:p>
        </w:tc>
      </w:tr>
      <w:tr w:rsidR="003836A1" w:rsidRPr="003836A1" w14:paraId="154A7E2A" w14:textId="77777777" w:rsidTr="001D4849">
        <w:trPr>
          <w:trHeight w:val="404"/>
          <w:jc w:val="center"/>
        </w:trPr>
        <w:tc>
          <w:tcPr>
            <w:tcW w:w="2786"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tcPr>
          <w:p w14:paraId="154A7E28" w14:textId="77777777" w:rsidR="00610266" w:rsidRPr="003836A1" w:rsidRDefault="00F95AB8" w:rsidP="003836A1">
            <w:pPr>
              <w:ind w:left="426"/>
              <w:jc w:val="both"/>
              <w:rPr>
                <w:rFonts w:ascii="Arial" w:eastAsia="Arial" w:hAnsi="Arial" w:cs="Arial"/>
              </w:rPr>
            </w:pPr>
            <w:r w:rsidRPr="003836A1">
              <w:rPr>
                <w:rFonts w:ascii="Arial" w:eastAsia="Arial" w:hAnsi="Arial" w:cs="Arial"/>
              </w:rPr>
              <w:t>Numeral 2</w:t>
            </w:r>
          </w:p>
        </w:tc>
        <w:tc>
          <w:tcPr>
            <w:tcW w:w="5426" w:type="dxa"/>
            <w:tcBorders>
              <w:top w:val="nil"/>
              <w:left w:val="nil"/>
              <w:bottom w:val="single" w:sz="8" w:space="0" w:color="181717"/>
              <w:right w:val="single" w:sz="8" w:space="0" w:color="181717"/>
            </w:tcBorders>
            <w:shd w:val="clear" w:color="auto" w:fill="auto"/>
            <w:tcMar>
              <w:top w:w="57" w:type="dxa"/>
              <w:left w:w="57" w:type="dxa"/>
              <w:bottom w:w="0" w:type="dxa"/>
              <w:right w:w="17" w:type="dxa"/>
            </w:tcMar>
          </w:tcPr>
          <w:p w14:paraId="154A7E29" w14:textId="77777777" w:rsidR="00610266" w:rsidRPr="003836A1" w:rsidRDefault="00F95AB8" w:rsidP="003836A1">
            <w:pPr>
              <w:ind w:left="117"/>
              <w:jc w:val="both"/>
              <w:rPr>
                <w:rFonts w:ascii="Arial" w:eastAsia="Arial" w:hAnsi="Arial" w:cs="Arial"/>
              </w:rPr>
            </w:pPr>
            <w:r w:rsidRPr="003836A1">
              <w:rPr>
                <w:rFonts w:ascii="Arial" w:eastAsia="Arial" w:hAnsi="Arial" w:cs="Arial"/>
              </w:rPr>
              <w:t>Participación en programa comunitario o actividad pedagógica de convivencia</w:t>
            </w:r>
          </w:p>
        </w:tc>
      </w:tr>
      <w:tr w:rsidR="003836A1" w:rsidRPr="003836A1" w14:paraId="154A7E2D" w14:textId="77777777" w:rsidTr="001D4849">
        <w:trPr>
          <w:trHeight w:val="224"/>
          <w:jc w:val="center"/>
        </w:trPr>
        <w:tc>
          <w:tcPr>
            <w:tcW w:w="2786"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tcPr>
          <w:p w14:paraId="154A7E2B" w14:textId="77777777" w:rsidR="00610266" w:rsidRPr="003836A1" w:rsidRDefault="00F95AB8" w:rsidP="003836A1">
            <w:pPr>
              <w:ind w:left="426"/>
              <w:jc w:val="both"/>
              <w:rPr>
                <w:rFonts w:ascii="Arial" w:eastAsia="Arial" w:hAnsi="Arial" w:cs="Arial"/>
              </w:rPr>
            </w:pPr>
            <w:r w:rsidRPr="003836A1">
              <w:rPr>
                <w:rFonts w:ascii="Arial" w:eastAsia="Arial" w:hAnsi="Arial" w:cs="Arial"/>
              </w:rPr>
              <w:t>Numeral 3</w:t>
            </w:r>
          </w:p>
        </w:tc>
        <w:tc>
          <w:tcPr>
            <w:tcW w:w="5426" w:type="dxa"/>
            <w:tcBorders>
              <w:top w:val="nil"/>
              <w:left w:val="nil"/>
              <w:bottom w:val="single" w:sz="8" w:space="0" w:color="181717"/>
              <w:right w:val="single" w:sz="8" w:space="0" w:color="181717"/>
            </w:tcBorders>
            <w:shd w:val="clear" w:color="auto" w:fill="auto"/>
            <w:tcMar>
              <w:top w:w="57" w:type="dxa"/>
              <w:left w:w="57" w:type="dxa"/>
              <w:bottom w:w="0" w:type="dxa"/>
              <w:right w:w="17" w:type="dxa"/>
            </w:tcMar>
          </w:tcPr>
          <w:p w14:paraId="154A7E2C" w14:textId="77777777" w:rsidR="00610266" w:rsidRPr="003836A1" w:rsidRDefault="00F95AB8" w:rsidP="003836A1">
            <w:pPr>
              <w:ind w:left="117"/>
              <w:jc w:val="both"/>
              <w:rPr>
                <w:rFonts w:ascii="Arial" w:eastAsia="Arial" w:hAnsi="Arial" w:cs="Arial"/>
              </w:rPr>
            </w:pPr>
            <w:r w:rsidRPr="003836A1">
              <w:rPr>
                <w:rFonts w:ascii="Arial" w:eastAsia="Arial" w:hAnsi="Arial" w:cs="Arial"/>
              </w:rPr>
              <w:t>Amonestación.</w:t>
            </w:r>
          </w:p>
        </w:tc>
      </w:tr>
      <w:tr w:rsidR="003836A1" w:rsidRPr="003836A1" w14:paraId="154A7E30" w14:textId="77777777" w:rsidTr="001D4849">
        <w:trPr>
          <w:trHeight w:val="224"/>
          <w:jc w:val="center"/>
        </w:trPr>
        <w:tc>
          <w:tcPr>
            <w:tcW w:w="2786"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tcPr>
          <w:p w14:paraId="154A7E2E" w14:textId="77777777" w:rsidR="00610266" w:rsidRPr="003836A1" w:rsidRDefault="00F95AB8" w:rsidP="003836A1">
            <w:pPr>
              <w:ind w:left="426"/>
              <w:jc w:val="both"/>
              <w:rPr>
                <w:rFonts w:ascii="Arial" w:eastAsia="Arial" w:hAnsi="Arial" w:cs="Arial"/>
              </w:rPr>
            </w:pPr>
            <w:r w:rsidRPr="003836A1">
              <w:rPr>
                <w:rFonts w:ascii="Arial" w:eastAsia="Arial" w:hAnsi="Arial" w:cs="Arial"/>
              </w:rPr>
              <w:t>Numeral 4</w:t>
            </w:r>
          </w:p>
        </w:tc>
        <w:tc>
          <w:tcPr>
            <w:tcW w:w="5426" w:type="dxa"/>
            <w:tcBorders>
              <w:top w:val="nil"/>
              <w:left w:val="nil"/>
              <w:bottom w:val="single" w:sz="8" w:space="0" w:color="181717"/>
              <w:right w:val="single" w:sz="8" w:space="0" w:color="181717"/>
            </w:tcBorders>
            <w:shd w:val="clear" w:color="auto" w:fill="auto"/>
            <w:tcMar>
              <w:top w:w="57" w:type="dxa"/>
              <w:left w:w="57" w:type="dxa"/>
              <w:bottom w:w="0" w:type="dxa"/>
              <w:right w:w="17" w:type="dxa"/>
            </w:tcMar>
          </w:tcPr>
          <w:p w14:paraId="154A7E2F" w14:textId="77777777" w:rsidR="00610266" w:rsidRPr="003836A1" w:rsidRDefault="00F95AB8" w:rsidP="003836A1">
            <w:pPr>
              <w:ind w:left="117"/>
              <w:jc w:val="both"/>
              <w:rPr>
                <w:rFonts w:ascii="Arial" w:eastAsia="Arial" w:hAnsi="Arial" w:cs="Arial"/>
              </w:rPr>
            </w:pPr>
            <w:r w:rsidRPr="003836A1">
              <w:rPr>
                <w:rFonts w:ascii="Arial" w:eastAsia="Arial" w:hAnsi="Arial" w:cs="Arial"/>
              </w:rPr>
              <w:t>Multa General tipo 3.</w:t>
            </w:r>
          </w:p>
        </w:tc>
      </w:tr>
      <w:tr w:rsidR="003836A1" w:rsidRPr="003836A1" w14:paraId="154A7E33" w14:textId="77777777" w:rsidTr="001D4849">
        <w:trPr>
          <w:trHeight w:val="404"/>
          <w:jc w:val="center"/>
        </w:trPr>
        <w:tc>
          <w:tcPr>
            <w:tcW w:w="2786"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tcPr>
          <w:p w14:paraId="154A7E31" w14:textId="77777777" w:rsidR="00610266" w:rsidRPr="003836A1" w:rsidRDefault="00F95AB8" w:rsidP="003836A1">
            <w:pPr>
              <w:ind w:left="426"/>
              <w:jc w:val="both"/>
              <w:rPr>
                <w:rFonts w:ascii="Arial" w:eastAsia="Arial" w:hAnsi="Arial" w:cs="Arial"/>
              </w:rPr>
            </w:pPr>
            <w:r w:rsidRPr="003836A1">
              <w:rPr>
                <w:rFonts w:ascii="Arial" w:eastAsia="Arial" w:hAnsi="Arial" w:cs="Arial"/>
              </w:rPr>
              <w:t>Numeral 5</w:t>
            </w:r>
          </w:p>
        </w:tc>
        <w:tc>
          <w:tcPr>
            <w:tcW w:w="5426" w:type="dxa"/>
            <w:tcBorders>
              <w:top w:val="nil"/>
              <w:left w:val="nil"/>
              <w:bottom w:val="single" w:sz="8" w:space="0" w:color="181717"/>
              <w:right w:val="single" w:sz="8" w:space="0" w:color="181717"/>
            </w:tcBorders>
            <w:shd w:val="clear" w:color="auto" w:fill="auto"/>
            <w:tcMar>
              <w:top w:w="57" w:type="dxa"/>
              <w:left w:w="57" w:type="dxa"/>
              <w:bottom w:w="0" w:type="dxa"/>
              <w:right w:w="17" w:type="dxa"/>
            </w:tcMar>
          </w:tcPr>
          <w:p w14:paraId="154A7E32" w14:textId="77777777" w:rsidR="00610266" w:rsidRPr="003836A1" w:rsidRDefault="00F95AB8" w:rsidP="003836A1">
            <w:pPr>
              <w:ind w:left="117"/>
              <w:jc w:val="both"/>
              <w:rPr>
                <w:rFonts w:ascii="Arial" w:eastAsia="Arial" w:hAnsi="Arial" w:cs="Arial"/>
              </w:rPr>
            </w:pPr>
            <w:r w:rsidRPr="003836A1">
              <w:rPr>
                <w:rFonts w:ascii="Arial" w:eastAsia="Arial" w:hAnsi="Arial" w:cs="Arial"/>
              </w:rPr>
              <w:t>Multa General tipo 4; Disolución de reunión o actividad que involucra aglomeraciones de público no complejas.</w:t>
            </w:r>
          </w:p>
        </w:tc>
      </w:tr>
      <w:tr w:rsidR="003836A1" w:rsidRPr="003836A1" w14:paraId="154A7E36" w14:textId="77777777" w:rsidTr="001D4849">
        <w:trPr>
          <w:trHeight w:val="224"/>
          <w:jc w:val="center"/>
        </w:trPr>
        <w:tc>
          <w:tcPr>
            <w:tcW w:w="2786"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tcPr>
          <w:p w14:paraId="154A7E34" w14:textId="77777777" w:rsidR="00610266" w:rsidRPr="003836A1" w:rsidRDefault="00F95AB8" w:rsidP="003836A1">
            <w:pPr>
              <w:ind w:left="426"/>
              <w:jc w:val="both"/>
              <w:rPr>
                <w:rFonts w:ascii="Arial" w:eastAsia="Arial" w:hAnsi="Arial" w:cs="Arial"/>
              </w:rPr>
            </w:pPr>
            <w:r w:rsidRPr="003836A1">
              <w:rPr>
                <w:rFonts w:ascii="Arial" w:eastAsia="Arial" w:hAnsi="Arial" w:cs="Arial"/>
              </w:rPr>
              <w:t>Numeral 6</w:t>
            </w:r>
          </w:p>
        </w:tc>
        <w:tc>
          <w:tcPr>
            <w:tcW w:w="5426" w:type="dxa"/>
            <w:tcBorders>
              <w:top w:val="nil"/>
              <w:left w:val="nil"/>
              <w:bottom w:val="single" w:sz="8" w:space="0" w:color="181717"/>
              <w:right w:val="single" w:sz="8" w:space="0" w:color="181717"/>
            </w:tcBorders>
            <w:shd w:val="clear" w:color="auto" w:fill="auto"/>
            <w:tcMar>
              <w:top w:w="57" w:type="dxa"/>
              <w:left w:w="57" w:type="dxa"/>
              <w:bottom w:w="0" w:type="dxa"/>
              <w:right w:w="17" w:type="dxa"/>
            </w:tcMar>
          </w:tcPr>
          <w:p w14:paraId="154A7E35" w14:textId="77777777" w:rsidR="00610266" w:rsidRPr="003836A1" w:rsidRDefault="00F95AB8" w:rsidP="003836A1">
            <w:pPr>
              <w:ind w:left="117"/>
              <w:jc w:val="both"/>
              <w:rPr>
                <w:rFonts w:ascii="Arial" w:eastAsia="Arial" w:hAnsi="Arial" w:cs="Arial"/>
              </w:rPr>
            </w:pPr>
            <w:r w:rsidRPr="003836A1">
              <w:rPr>
                <w:rFonts w:ascii="Arial" w:eastAsia="Arial" w:hAnsi="Arial" w:cs="Arial"/>
              </w:rPr>
              <w:t>Amonestación.</w:t>
            </w:r>
          </w:p>
        </w:tc>
      </w:tr>
      <w:tr w:rsidR="003836A1" w:rsidRPr="003836A1" w14:paraId="154A7E39" w14:textId="77777777" w:rsidTr="001D4849">
        <w:trPr>
          <w:trHeight w:val="224"/>
          <w:jc w:val="center"/>
        </w:trPr>
        <w:tc>
          <w:tcPr>
            <w:tcW w:w="2786"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tcPr>
          <w:p w14:paraId="154A7E37" w14:textId="77777777" w:rsidR="00610266" w:rsidRPr="003836A1" w:rsidRDefault="00F95AB8" w:rsidP="003836A1">
            <w:pPr>
              <w:ind w:left="426"/>
              <w:jc w:val="both"/>
              <w:rPr>
                <w:rFonts w:ascii="Arial" w:eastAsia="Arial" w:hAnsi="Arial" w:cs="Arial"/>
              </w:rPr>
            </w:pPr>
            <w:r w:rsidRPr="003836A1">
              <w:rPr>
                <w:rFonts w:ascii="Arial" w:eastAsia="Arial" w:hAnsi="Arial" w:cs="Arial"/>
              </w:rPr>
              <w:t>Numeral 7</w:t>
            </w:r>
          </w:p>
        </w:tc>
        <w:tc>
          <w:tcPr>
            <w:tcW w:w="5426" w:type="dxa"/>
            <w:tcBorders>
              <w:top w:val="nil"/>
              <w:left w:val="nil"/>
              <w:bottom w:val="single" w:sz="8" w:space="0" w:color="181717"/>
              <w:right w:val="single" w:sz="8" w:space="0" w:color="181717"/>
            </w:tcBorders>
            <w:shd w:val="clear" w:color="auto" w:fill="auto"/>
            <w:tcMar>
              <w:top w:w="57" w:type="dxa"/>
              <w:left w:w="57" w:type="dxa"/>
              <w:bottom w:w="0" w:type="dxa"/>
              <w:right w:w="17" w:type="dxa"/>
            </w:tcMar>
          </w:tcPr>
          <w:p w14:paraId="154A7E38" w14:textId="77777777" w:rsidR="00610266" w:rsidRPr="003836A1" w:rsidRDefault="00F95AB8" w:rsidP="003836A1">
            <w:pPr>
              <w:ind w:left="117"/>
              <w:jc w:val="both"/>
              <w:rPr>
                <w:rFonts w:ascii="Arial" w:eastAsia="Arial" w:hAnsi="Arial" w:cs="Arial"/>
              </w:rPr>
            </w:pPr>
            <w:r w:rsidRPr="003836A1">
              <w:rPr>
                <w:rFonts w:ascii="Arial" w:eastAsia="Arial" w:hAnsi="Arial" w:cs="Arial"/>
              </w:rPr>
              <w:t>Amonestación; Multa General tipo 1</w:t>
            </w:r>
          </w:p>
        </w:tc>
      </w:tr>
      <w:tr w:rsidR="003836A1" w:rsidRPr="003836A1" w14:paraId="154A7E3C" w14:textId="77777777" w:rsidTr="001D4849">
        <w:trPr>
          <w:trHeight w:val="224"/>
          <w:jc w:val="center"/>
        </w:trPr>
        <w:tc>
          <w:tcPr>
            <w:tcW w:w="2786"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tcPr>
          <w:p w14:paraId="154A7E3A" w14:textId="77777777" w:rsidR="00610266" w:rsidRPr="003836A1" w:rsidRDefault="00F95AB8" w:rsidP="003836A1">
            <w:pPr>
              <w:ind w:left="426"/>
              <w:jc w:val="both"/>
              <w:rPr>
                <w:rFonts w:ascii="Arial" w:eastAsia="Arial" w:hAnsi="Arial" w:cs="Arial"/>
              </w:rPr>
            </w:pPr>
            <w:r w:rsidRPr="003836A1">
              <w:rPr>
                <w:rFonts w:ascii="Arial" w:eastAsia="Arial" w:hAnsi="Arial" w:cs="Arial"/>
              </w:rPr>
              <w:t>Numeral 8</w:t>
            </w:r>
          </w:p>
        </w:tc>
        <w:tc>
          <w:tcPr>
            <w:tcW w:w="5426" w:type="dxa"/>
            <w:tcBorders>
              <w:top w:val="nil"/>
              <w:left w:val="nil"/>
              <w:bottom w:val="single" w:sz="8" w:space="0" w:color="181717"/>
              <w:right w:val="single" w:sz="8" w:space="0" w:color="181717"/>
            </w:tcBorders>
            <w:shd w:val="clear" w:color="auto" w:fill="auto"/>
            <w:tcMar>
              <w:top w:w="57" w:type="dxa"/>
              <w:left w:w="57" w:type="dxa"/>
              <w:bottom w:w="0" w:type="dxa"/>
              <w:right w:w="17" w:type="dxa"/>
            </w:tcMar>
          </w:tcPr>
          <w:p w14:paraId="154A7E3B" w14:textId="77777777" w:rsidR="00610266" w:rsidRPr="003836A1" w:rsidRDefault="00F95AB8" w:rsidP="003836A1">
            <w:pPr>
              <w:ind w:left="117"/>
              <w:jc w:val="both"/>
              <w:rPr>
                <w:rFonts w:ascii="Arial" w:eastAsia="Arial" w:hAnsi="Arial" w:cs="Arial"/>
              </w:rPr>
            </w:pPr>
            <w:r w:rsidRPr="003836A1">
              <w:rPr>
                <w:rFonts w:ascii="Arial" w:eastAsia="Arial" w:hAnsi="Arial" w:cs="Arial"/>
              </w:rPr>
              <w:t>Multa General tipo 3</w:t>
            </w:r>
          </w:p>
        </w:tc>
      </w:tr>
      <w:tr w:rsidR="003836A1" w:rsidRPr="003836A1" w14:paraId="154A7E3F" w14:textId="77777777" w:rsidTr="001D4849">
        <w:trPr>
          <w:trHeight w:val="944"/>
          <w:jc w:val="center"/>
        </w:trPr>
        <w:tc>
          <w:tcPr>
            <w:tcW w:w="2786"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tcPr>
          <w:p w14:paraId="154A7E3D" w14:textId="77777777" w:rsidR="00610266" w:rsidRPr="003836A1" w:rsidRDefault="00F95AB8" w:rsidP="003836A1">
            <w:pPr>
              <w:ind w:left="426"/>
              <w:jc w:val="both"/>
              <w:rPr>
                <w:rFonts w:ascii="Arial" w:eastAsia="Arial" w:hAnsi="Arial" w:cs="Arial"/>
              </w:rPr>
            </w:pPr>
            <w:r w:rsidRPr="003836A1">
              <w:rPr>
                <w:rFonts w:ascii="Arial" w:eastAsia="Arial" w:hAnsi="Arial" w:cs="Arial"/>
              </w:rPr>
              <w:t>Numeral 9</w:t>
            </w:r>
          </w:p>
        </w:tc>
        <w:tc>
          <w:tcPr>
            <w:tcW w:w="5426" w:type="dxa"/>
            <w:tcBorders>
              <w:top w:val="nil"/>
              <w:left w:val="nil"/>
              <w:bottom w:val="single" w:sz="8" w:space="0" w:color="181717"/>
              <w:right w:val="single" w:sz="8" w:space="0" w:color="181717"/>
            </w:tcBorders>
            <w:shd w:val="clear" w:color="auto" w:fill="auto"/>
            <w:tcMar>
              <w:top w:w="57" w:type="dxa"/>
              <w:left w:w="57" w:type="dxa"/>
              <w:bottom w:w="0" w:type="dxa"/>
              <w:right w:w="17" w:type="dxa"/>
            </w:tcMar>
          </w:tcPr>
          <w:p w14:paraId="154A7E3E" w14:textId="77777777" w:rsidR="00610266" w:rsidRPr="003836A1" w:rsidRDefault="00F95AB8" w:rsidP="003836A1">
            <w:pPr>
              <w:ind w:left="426"/>
              <w:jc w:val="both"/>
              <w:rPr>
                <w:rFonts w:ascii="Arial" w:eastAsia="Arial" w:hAnsi="Arial" w:cs="Arial"/>
              </w:rPr>
            </w:pPr>
            <w:r w:rsidRPr="003836A1">
              <w:rPr>
                <w:rFonts w:ascii="Arial" w:eastAsia="Arial" w:hAnsi="Arial" w:cs="Arial"/>
              </w:rPr>
              <w:t>Prohibición de ingreso a actividad que involucra aglomeraciones de público complejas o no complejas; Participación en programa comunitario o actividad pedagógica de convivencia y remisión a los centros de atención en drogadicción (CAD) y servicios de farmacodependencia a que se refiere la Ley 1566 de 2012.</w:t>
            </w:r>
          </w:p>
        </w:tc>
      </w:tr>
      <w:tr w:rsidR="00610266" w:rsidRPr="003836A1" w14:paraId="154A7E42" w14:textId="77777777" w:rsidTr="001D4849">
        <w:trPr>
          <w:trHeight w:val="224"/>
          <w:jc w:val="center"/>
        </w:trPr>
        <w:tc>
          <w:tcPr>
            <w:tcW w:w="2786"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tcPr>
          <w:p w14:paraId="154A7E40" w14:textId="77777777" w:rsidR="00610266" w:rsidRPr="003836A1" w:rsidRDefault="00F95AB8" w:rsidP="003836A1">
            <w:pPr>
              <w:ind w:left="426"/>
              <w:jc w:val="both"/>
              <w:rPr>
                <w:rFonts w:ascii="Arial" w:eastAsia="Arial" w:hAnsi="Arial" w:cs="Arial"/>
              </w:rPr>
            </w:pPr>
            <w:r w:rsidRPr="003836A1">
              <w:rPr>
                <w:rFonts w:ascii="Arial" w:eastAsia="Arial" w:hAnsi="Arial" w:cs="Arial"/>
              </w:rPr>
              <w:t>Numeral 10</w:t>
            </w:r>
          </w:p>
        </w:tc>
        <w:tc>
          <w:tcPr>
            <w:tcW w:w="5426" w:type="dxa"/>
            <w:tcBorders>
              <w:top w:val="nil"/>
              <w:left w:val="nil"/>
              <w:bottom w:val="single" w:sz="8" w:space="0" w:color="181717"/>
              <w:right w:val="single" w:sz="8" w:space="0" w:color="181717"/>
            </w:tcBorders>
            <w:shd w:val="clear" w:color="auto" w:fill="auto"/>
            <w:tcMar>
              <w:top w:w="57" w:type="dxa"/>
              <w:left w:w="57" w:type="dxa"/>
              <w:bottom w:w="0" w:type="dxa"/>
              <w:right w:w="17" w:type="dxa"/>
            </w:tcMar>
          </w:tcPr>
          <w:p w14:paraId="154A7E41" w14:textId="77777777" w:rsidR="00610266" w:rsidRPr="003836A1" w:rsidRDefault="00F95AB8" w:rsidP="003836A1">
            <w:pPr>
              <w:ind w:left="426"/>
              <w:jc w:val="both"/>
              <w:rPr>
                <w:rFonts w:ascii="Arial" w:eastAsia="Arial" w:hAnsi="Arial" w:cs="Arial"/>
              </w:rPr>
            </w:pPr>
            <w:r w:rsidRPr="003836A1">
              <w:rPr>
                <w:rFonts w:ascii="Arial" w:eastAsia="Arial" w:hAnsi="Arial" w:cs="Arial"/>
              </w:rPr>
              <w:t>Multa General tipo 3; Destrucción de bien.</w:t>
            </w:r>
          </w:p>
        </w:tc>
      </w:tr>
    </w:tbl>
    <w:p w14:paraId="154A7E43" w14:textId="77777777" w:rsidR="00610266" w:rsidRPr="003836A1" w:rsidRDefault="00610266" w:rsidP="003836A1">
      <w:pPr>
        <w:widowControl/>
        <w:pBdr>
          <w:top w:val="nil"/>
          <w:left w:val="nil"/>
          <w:bottom w:val="nil"/>
          <w:right w:val="nil"/>
          <w:between w:val="nil"/>
        </w:pBdr>
        <w:shd w:val="clear" w:color="auto" w:fill="FFFFFF"/>
        <w:jc w:val="both"/>
        <w:rPr>
          <w:rFonts w:ascii="Arial" w:eastAsia="Arial" w:hAnsi="Arial" w:cs="Arial"/>
        </w:rPr>
      </w:pPr>
    </w:p>
    <w:p w14:paraId="154A7E44" w14:textId="77777777" w:rsidR="00610266" w:rsidRPr="003836A1" w:rsidRDefault="00F95AB8" w:rsidP="003836A1">
      <w:pPr>
        <w:widowControl/>
        <w:numPr>
          <w:ilvl w:val="0"/>
          <w:numId w:val="2"/>
        </w:numPr>
        <w:pBdr>
          <w:top w:val="nil"/>
          <w:left w:val="nil"/>
          <w:bottom w:val="nil"/>
          <w:right w:val="nil"/>
          <w:between w:val="nil"/>
        </w:pBdr>
        <w:ind w:left="142" w:firstLine="0"/>
        <w:jc w:val="both"/>
        <w:rPr>
          <w:rFonts w:ascii="Arial" w:eastAsia="Arial" w:hAnsi="Arial" w:cs="Arial"/>
          <w:i/>
        </w:rPr>
      </w:pPr>
      <w:r w:rsidRPr="003836A1">
        <w:rPr>
          <w:rFonts w:ascii="Arial" w:eastAsia="Arial" w:hAnsi="Arial" w:cs="Arial"/>
          <w:b/>
        </w:rPr>
        <w:t>Ley 1251 de 2008.</w:t>
      </w:r>
      <w:r w:rsidRPr="003836A1">
        <w:rPr>
          <w:rFonts w:ascii="Arial" w:eastAsia="Arial" w:hAnsi="Arial" w:cs="Arial"/>
          <w:i/>
        </w:rPr>
        <w:t xml:space="preserve"> “Por la cual se dictan normas tendientes a procurar la protección, promoción y defensa de los derechos de los adultos mayores”.</w:t>
      </w:r>
    </w:p>
    <w:p w14:paraId="154A7E45" w14:textId="77777777" w:rsidR="00610266" w:rsidRPr="003836A1" w:rsidRDefault="00610266" w:rsidP="003836A1">
      <w:pPr>
        <w:jc w:val="both"/>
        <w:rPr>
          <w:rFonts w:ascii="Arial" w:eastAsia="Arial" w:hAnsi="Arial" w:cs="Arial"/>
        </w:rPr>
      </w:pPr>
    </w:p>
    <w:p w14:paraId="154A7E46" w14:textId="77777777" w:rsidR="00610266" w:rsidRPr="003836A1" w:rsidRDefault="00F95AB8" w:rsidP="003836A1">
      <w:pPr>
        <w:pBdr>
          <w:top w:val="nil"/>
          <w:left w:val="nil"/>
          <w:bottom w:val="nil"/>
          <w:right w:val="nil"/>
          <w:between w:val="nil"/>
        </w:pBdr>
        <w:ind w:left="426"/>
        <w:jc w:val="both"/>
        <w:rPr>
          <w:rFonts w:ascii="Arial" w:eastAsia="Arial" w:hAnsi="Arial" w:cs="Arial"/>
          <w:i/>
        </w:rPr>
      </w:pPr>
      <w:bookmarkStart w:id="13" w:name="bookmark=id.3rdcrjn" w:colFirst="0" w:colLast="0"/>
      <w:bookmarkEnd w:id="13"/>
      <w:r w:rsidRPr="003836A1">
        <w:rPr>
          <w:rFonts w:ascii="Arial" w:eastAsia="Arial" w:hAnsi="Arial" w:cs="Arial"/>
          <w:b/>
          <w:i/>
        </w:rPr>
        <w:t>Artículo 6. Deberes.</w:t>
      </w:r>
      <w:r w:rsidRPr="003836A1">
        <w:rPr>
          <w:rFonts w:ascii="Arial" w:eastAsia="Arial" w:hAnsi="Arial" w:cs="Arial"/>
          <w:i/>
        </w:rPr>
        <w:t xml:space="preserve"> El Estado, la sociedad civil, la familia, el adulto mayor y los medios de comunicación, deberán para con los adultos mayores: </w:t>
      </w:r>
    </w:p>
    <w:p w14:paraId="154A7E47" w14:textId="77777777" w:rsidR="00610266" w:rsidRPr="003836A1" w:rsidRDefault="00610266" w:rsidP="003836A1">
      <w:pPr>
        <w:jc w:val="both"/>
        <w:rPr>
          <w:rFonts w:ascii="Arial" w:eastAsia="Arial" w:hAnsi="Arial" w:cs="Arial"/>
        </w:rPr>
      </w:pPr>
    </w:p>
    <w:p w14:paraId="154A7E48" w14:textId="77777777" w:rsidR="00610266" w:rsidRPr="003836A1" w:rsidRDefault="00F95AB8" w:rsidP="003836A1">
      <w:pPr>
        <w:ind w:left="709"/>
        <w:jc w:val="both"/>
        <w:rPr>
          <w:rFonts w:ascii="Arial" w:eastAsia="Arial" w:hAnsi="Arial" w:cs="Arial"/>
          <w:i/>
        </w:rPr>
      </w:pPr>
      <w:r w:rsidRPr="003836A1">
        <w:rPr>
          <w:rFonts w:ascii="Arial" w:eastAsia="Arial" w:hAnsi="Arial" w:cs="Arial"/>
          <w:i/>
        </w:rPr>
        <w:t>(…)</w:t>
      </w:r>
    </w:p>
    <w:p w14:paraId="154A7E49" w14:textId="77777777" w:rsidR="00610266" w:rsidRPr="003836A1" w:rsidRDefault="00610266" w:rsidP="003836A1">
      <w:pPr>
        <w:ind w:left="709"/>
        <w:jc w:val="both"/>
        <w:rPr>
          <w:rFonts w:ascii="Arial" w:eastAsia="Arial" w:hAnsi="Arial" w:cs="Arial"/>
          <w:i/>
        </w:rPr>
      </w:pPr>
    </w:p>
    <w:p w14:paraId="154A7E4A" w14:textId="77777777" w:rsidR="00610266" w:rsidRPr="003836A1" w:rsidRDefault="00F95AB8" w:rsidP="003836A1">
      <w:pPr>
        <w:widowControl/>
        <w:numPr>
          <w:ilvl w:val="0"/>
          <w:numId w:val="3"/>
        </w:numPr>
        <w:pBdr>
          <w:top w:val="nil"/>
          <w:left w:val="nil"/>
          <w:bottom w:val="nil"/>
          <w:right w:val="nil"/>
          <w:between w:val="nil"/>
        </w:pBdr>
        <w:ind w:left="709" w:firstLine="0"/>
        <w:jc w:val="both"/>
        <w:rPr>
          <w:rFonts w:ascii="Arial" w:eastAsia="Arial" w:hAnsi="Arial" w:cs="Arial"/>
          <w:i/>
        </w:rPr>
      </w:pPr>
      <w:r w:rsidRPr="003836A1">
        <w:rPr>
          <w:rFonts w:ascii="Arial" w:eastAsia="Arial" w:hAnsi="Arial" w:cs="Arial"/>
          <w:i/>
        </w:rPr>
        <w:t xml:space="preserve">Del Estado </w:t>
      </w:r>
    </w:p>
    <w:p w14:paraId="154A7E4B" w14:textId="77777777" w:rsidR="00610266" w:rsidRPr="003836A1" w:rsidRDefault="00610266" w:rsidP="003836A1">
      <w:pPr>
        <w:ind w:left="709"/>
        <w:jc w:val="both"/>
        <w:rPr>
          <w:rFonts w:ascii="Arial" w:eastAsia="Arial" w:hAnsi="Arial" w:cs="Arial"/>
          <w:i/>
        </w:rPr>
      </w:pPr>
    </w:p>
    <w:p w14:paraId="154A7E4C" w14:textId="77777777" w:rsidR="00610266" w:rsidRPr="003836A1" w:rsidRDefault="00F95AB8" w:rsidP="003836A1">
      <w:pPr>
        <w:ind w:left="709"/>
        <w:jc w:val="both"/>
        <w:rPr>
          <w:rFonts w:ascii="Arial" w:eastAsia="Arial" w:hAnsi="Arial" w:cs="Arial"/>
          <w:i/>
        </w:rPr>
      </w:pPr>
      <w:r w:rsidRPr="003836A1">
        <w:rPr>
          <w:rFonts w:ascii="Arial" w:eastAsia="Arial" w:hAnsi="Arial" w:cs="Arial"/>
          <w:i/>
        </w:rPr>
        <w:t>i) Promover una cultura de solidaridad hacia el adulto mayor;</w:t>
      </w:r>
    </w:p>
    <w:p w14:paraId="154A7E4D" w14:textId="77777777" w:rsidR="00610266" w:rsidRPr="003836A1" w:rsidRDefault="00610266" w:rsidP="003836A1">
      <w:pPr>
        <w:pBdr>
          <w:top w:val="nil"/>
          <w:left w:val="nil"/>
          <w:bottom w:val="nil"/>
          <w:right w:val="nil"/>
          <w:between w:val="nil"/>
        </w:pBdr>
        <w:ind w:left="709"/>
        <w:jc w:val="both"/>
        <w:rPr>
          <w:rFonts w:ascii="Arial" w:eastAsia="Arial" w:hAnsi="Arial" w:cs="Arial"/>
          <w:i/>
        </w:rPr>
      </w:pPr>
    </w:p>
    <w:p w14:paraId="154A7E4E" w14:textId="77777777" w:rsidR="00610266" w:rsidRPr="003836A1" w:rsidRDefault="00F95AB8" w:rsidP="003836A1">
      <w:pPr>
        <w:ind w:left="709"/>
        <w:jc w:val="both"/>
        <w:rPr>
          <w:rFonts w:ascii="Arial" w:eastAsia="Arial" w:hAnsi="Arial" w:cs="Arial"/>
          <w:i/>
        </w:rPr>
      </w:pPr>
      <w:r w:rsidRPr="003836A1">
        <w:rPr>
          <w:rFonts w:ascii="Arial" w:eastAsia="Arial" w:hAnsi="Arial" w:cs="Arial"/>
          <w:i/>
        </w:rPr>
        <w:t>o) Promover estilos de vida saludables desde la primera infancia para fomentar hábitos y comportamientos saludables relacionados con el autocuidado, la alimentación sana y saludable, el cuidado del entorno y el fomento de la actividad física para lograr un envejecimiento activo y crear un imaginario positivo de la vejez.</w:t>
      </w:r>
    </w:p>
    <w:p w14:paraId="154A7E4F" w14:textId="77777777" w:rsidR="00610266" w:rsidRPr="003836A1" w:rsidRDefault="00610266" w:rsidP="003836A1">
      <w:pPr>
        <w:ind w:left="709"/>
        <w:jc w:val="both"/>
        <w:rPr>
          <w:rFonts w:ascii="Arial" w:eastAsia="Arial" w:hAnsi="Arial" w:cs="Arial"/>
          <w:i/>
        </w:rPr>
      </w:pPr>
    </w:p>
    <w:p w14:paraId="154A7E50" w14:textId="77777777" w:rsidR="00610266" w:rsidRPr="003836A1" w:rsidRDefault="00610266" w:rsidP="003836A1">
      <w:pPr>
        <w:ind w:left="709"/>
        <w:jc w:val="both"/>
        <w:rPr>
          <w:rFonts w:ascii="Arial" w:eastAsia="Arial" w:hAnsi="Arial" w:cs="Arial"/>
          <w:i/>
        </w:rPr>
      </w:pPr>
    </w:p>
    <w:p w14:paraId="154A7E51" w14:textId="77777777" w:rsidR="00610266" w:rsidRPr="003836A1" w:rsidRDefault="00F95AB8" w:rsidP="003836A1">
      <w:pPr>
        <w:widowControl/>
        <w:numPr>
          <w:ilvl w:val="0"/>
          <w:numId w:val="3"/>
        </w:numPr>
        <w:pBdr>
          <w:top w:val="nil"/>
          <w:left w:val="nil"/>
          <w:bottom w:val="nil"/>
          <w:right w:val="nil"/>
          <w:between w:val="nil"/>
        </w:pBdr>
        <w:ind w:left="709" w:firstLine="0"/>
        <w:jc w:val="both"/>
        <w:rPr>
          <w:rFonts w:ascii="Arial" w:eastAsia="Arial" w:hAnsi="Arial" w:cs="Arial"/>
          <w:i/>
        </w:rPr>
      </w:pPr>
      <w:r w:rsidRPr="003836A1">
        <w:rPr>
          <w:rFonts w:ascii="Arial" w:eastAsia="Arial" w:hAnsi="Arial" w:cs="Arial"/>
          <w:i/>
        </w:rPr>
        <w:t xml:space="preserve">De la Sociedad Civil </w:t>
      </w:r>
    </w:p>
    <w:p w14:paraId="154A7E52" w14:textId="77777777" w:rsidR="00610266" w:rsidRPr="003836A1" w:rsidRDefault="00610266" w:rsidP="003836A1">
      <w:pPr>
        <w:ind w:left="709"/>
        <w:jc w:val="both"/>
        <w:rPr>
          <w:rFonts w:ascii="Arial" w:eastAsia="Arial" w:hAnsi="Arial" w:cs="Arial"/>
          <w:i/>
        </w:rPr>
      </w:pPr>
    </w:p>
    <w:p w14:paraId="154A7E53" w14:textId="77777777" w:rsidR="00610266" w:rsidRPr="003836A1" w:rsidRDefault="00F95AB8" w:rsidP="003836A1">
      <w:pPr>
        <w:ind w:left="709"/>
        <w:jc w:val="both"/>
        <w:rPr>
          <w:rFonts w:ascii="Arial" w:eastAsia="Arial" w:hAnsi="Arial" w:cs="Arial"/>
          <w:i/>
        </w:rPr>
      </w:pPr>
      <w:r w:rsidRPr="003836A1">
        <w:rPr>
          <w:rFonts w:ascii="Arial" w:eastAsia="Arial" w:hAnsi="Arial" w:cs="Arial"/>
          <w:i/>
        </w:rPr>
        <w:t>i) Desarrollar actividades que fomenten el envejecimiento saludable y la participación de los adultos mayores en estas actividades.</w:t>
      </w:r>
    </w:p>
    <w:p w14:paraId="154A7E54" w14:textId="77777777" w:rsidR="00610266" w:rsidRPr="003836A1" w:rsidRDefault="00610266" w:rsidP="003836A1">
      <w:pPr>
        <w:pBdr>
          <w:top w:val="nil"/>
          <w:left w:val="nil"/>
          <w:bottom w:val="nil"/>
          <w:right w:val="nil"/>
          <w:between w:val="nil"/>
        </w:pBdr>
        <w:ind w:left="709"/>
        <w:jc w:val="both"/>
        <w:rPr>
          <w:rFonts w:ascii="Arial" w:eastAsia="Arial" w:hAnsi="Arial" w:cs="Arial"/>
          <w:i/>
        </w:rPr>
      </w:pPr>
    </w:p>
    <w:p w14:paraId="154A7E55" w14:textId="77777777" w:rsidR="00610266" w:rsidRPr="003836A1" w:rsidRDefault="00F95AB8" w:rsidP="003836A1">
      <w:pPr>
        <w:ind w:left="709"/>
        <w:jc w:val="both"/>
        <w:rPr>
          <w:rFonts w:ascii="Arial" w:eastAsia="Arial" w:hAnsi="Arial" w:cs="Arial"/>
          <w:i/>
        </w:rPr>
      </w:pPr>
      <w:r w:rsidRPr="003836A1">
        <w:rPr>
          <w:rFonts w:ascii="Arial" w:eastAsia="Arial" w:hAnsi="Arial" w:cs="Arial"/>
          <w:i/>
        </w:rPr>
        <w:t>l) Cumplir con los estándares de calidad que estén establecidos para la prestación de los servicios sociales, de salud, educación y cultura que se encuentren establecidos teniendo en cuenta que sean accesibles a los adultos mayores;</w:t>
      </w:r>
    </w:p>
    <w:p w14:paraId="154A7E56" w14:textId="77777777" w:rsidR="00610266" w:rsidRPr="003836A1" w:rsidRDefault="00610266" w:rsidP="003836A1">
      <w:pPr>
        <w:jc w:val="both"/>
        <w:rPr>
          <w:rFonts w:ascii="Arial" w:eastAsia="Arial" w:hAnsi="Arial" w:cs="Arial"/>
          <w:b/>
        </w:rPr>
      </w:pPr>
    </w:p>
    <w:p w14:paraId="154A7E57" w14:textId="77777777" w:rsidR="00610266" w:rsidRPr="003836A1" w:rsidRDefault="00F95AB8" w:rsidP="003836A1">
      <w:pPr>
        <w:widowControl/>
        <w:numPr>
          <w:ilvl w:val="0"/>
          <w:numId w:val="2"/>
        </w:numPr>
        <w:pBdr>
          <w:top w:val="nil"/>
          <w:left w:val="nil"/>
          <w:bottom w:val="nil"/>
          <w:right w:val="nil"/>
          <w:between w:val="nil"/>
        </w:pBdr>
        <w:ind w:left="142" w:hanging="10"/>
        <w:jc w:val="both"/>
        <w:rPr>
          <w:rFonts w:ascii="Arial" w:eastAsia="Arial" w:hAnsi="Arial" w:cs="Arial"/>
          <w:i/>
        </w:rPr>
      </w:pPr>
      <w:r w:rsidRPr="003836A1">
        <w:rPr>
          <w:rFonts w:ascii="Arial" w:eastAsia="Arial" w:hAnsi="Arial" w:cs="Arial"/>
          <w:b/>
        </w:rPr>
        <w:t>Ley 175</w:t>
      </w:r>
      <w:r w:rsidR="00327AFD" w:rsidRPr="003836A1">
        <w:rPr>
          <w:rFonts w:ascii="Arial" w:eastAsia="Arial" w:hAnsi="Arial" w:cs="Arial"/>
          <w:b/>
        </w:rPr>
        <w:t>1</w:t>
      </w:r>
      <w:r w:rsidRPr="003836A1">
        <w:rPr>
          <w:rFonts w:ascii="Arial" w:eastAsia="Arial" w:hAnsi="Arial" w:cs="Arial"/>
          <w:b/>
        </w:rPr>
        <w:t xml:space="preserve"> de 2015</w:t>
      </w:r>
      <w:r w:rsidRPr="003836A1">
        <w:rPr>
          <w:rFonts w:ascii="Arial" w:eastAsia="Arial" w:hAnsi="Arial" w:cs="Arial"/>
        </w:rPr>
        <w:t xml:space="preserve"> “</w:t>
      </w:r>
      <w:r w:rsidRPr="003836A1">
        <w:rPr>
          <w:rFonts w:ascii="Arial" w:eastAsia="Arial" w:hAnsi="Arial" w:cs="Arial"/>
          <w:i/>
        </w:rPr>
        <w:t>Por medio de la cual se regula el derecho fundamental a la salud y se dictan otras disposiciones”.</w:t>
      </w:r>
    </w:p>
    <w:p w14:paraId="154A7E58" w14:textId="77777777" w:rsidR="00610266" w:rsidRPr="003836A1" w:rsidRDefault="00610266" w:rsidP="003836A1">
      <w:pPr>
        <w:pBdr>
          <w:top w:val="nil"/>
          <w:left w:val="nil"/>
          <w:bottom w:val="nil"/>
          <w:right w:val="nil"/>
          <w:between w:val="nil"/>
        </w:pBdr>
        <w:ind w:left="720"/>
        <w:jc w:val="both"/>
        <w:rPr>
          <w:rFonts w:ascii="Arial" w:eastAsia="Arial" w:hAnsi="Arial" w:cs="Arial"/>
          <w:b/>
        </w:rPr>
      </w:pPr>
    </w:p>
    <w:p w14:paraId="154A7E59" w14:textId="77777777" w:rsidR="00610266" w:rsidRPr="003836A1" w:rsidRDefault="00610266" w:rsidP="003836A1">
      <w:pPr>
        <w:pBdr>
          <w:top w:val="nil"/>
          <w:left w:val="nil"/>
          <w:bottom w:val="nil"/>
          <w:right w:val="nil"/>
          <w:between w:val="nil"/>
        </w:pBdr>
        <w:ind w:left="720"/>
        <w:jc w:val="both"/>
        <w:rPr>
          <w:rFonts w:ascii="Arial" w:eastAsia="Arial" w:hAnsi="Arial" w:cs="Arial"/>
          <w:b/>
        </w:rPr>
      </w:pPr>
    </w:p>
    <w:p w14:paraId="154A7E5A" w14:textId="77777777" w:rsidR="00610266" w:rsidRPr="003836A1" w:rsidRDefault="00F95AB8" w:rsidP="003836A1">
      <w:pPr>
        <w:pBdr>
          <w:top w:val="nil"/>
          <w:left w:val="nil"/>
          <w:bottom w:val="nil"/>
          <w:right w:val="nil"/>
          <w:between w:val="nil"/>
        </w:pBdr>
        <w:ind w:left="426"/>
        <w:jc w:val="both"/>
        <w:rPr>
          <w:rFonts w:ascii="Arial" w:eastAsia="Arial" w:hAnsi="Arial" w:cs="Arial"/>
          <w:i/>
        </w:rPr>
      </w:pPr>
      <w:bookmarkStart w:id="14" w:name="bookmark=id.26in1rg" w:colFirst="0" w:colLast="0"/>
      <w:bookmarkEnd w:id="14"/>
      <w:r w:rsidRPr="003836A1">
        <w:rPr>
          <w:rFonts w:ascii="Arial" w:eastAsia="Arial" w:hAnsi="Arial" w:cs="Arial"/>
          <w:b/>
          <w:i/>
        </w:rPr>
        <w:t>Artículo 1. Objeto</w:t>
      </w:r>
      <w:r w:rsidRPr="003836A1">
        <w:rPr>
          <w:rFonts w:ascii="Arial" w:eastAsia="Arial" w:hAnsi="Arial" w:cs="Arial"/>
          <w:i/>
        </w:rPr>
        <w:t>. &lt;artículo condicionalmente exequible&gt; la presente ley tiene por objeto garantizar el derecho fundamental a la salud, regularlo y establecer sus mecanismos de protección.</w:t>
      </w:r>
    </w:p>
    <w:p w14:paraId="154A7E5B" w14:textId="77777777" w:rsidR="00610266" w:rsidRPr="003836A1" w:rsidRDefault="00610266" w:rsidP="003836A1">
      <w:pPr>
        <w:pBdr>
          <w:top w:val="nil"/>
          <w:left w:val="nil"/>
          <w:bottom w:val="nil"/>
          <w:right w:val="nil"/>
          <w:between w:val="nil"/>
        </w:pBdr>
        <w:ind w:left="426"/>
        <w:jc w:val="both"/>
        <w:rPr>
          <w:rFonts w:ascii="Arial" w:eastAsia="Arial" w:hAnsi="Arial" w:cs="Arial"/>
          <w:b/>
          <w:i/>
        </w:rPr>
      </w:pPr>
    </w:p>
    <w:p w14:paraId="154A7E5C" w14:textId="77777777" w:rsidR="00610266" w:rsidRPr="003836A1" w:rsidRDefault="00F95AB8" w:rsidP="003836A1">
      <w:pPr>
        <w:pBdr>
          <w:top w:val="nil"/>
          <w:left w:val="nil"/>
          <w:bottom w:val="nil"/>
          <w:right w:val="nil"/>
          <w:between w:val="nil"/>
        </w:pBdr>
        <w:ind w:left="426"/>
        <w:jc w:val="both"/>
        <w:rPr>
          <w:rFonts w:ascii="Arial" w:eastAsia="Arial" w:hAnsi="Arial" w:cs="Arial"/>
          <w:i/>
        </w:rPr>
      </w:pPr>
      <w:r w:rsidRPr="003836A1">
        <w:rPr>
          <w:rFonts w:ascii="Arial" w:eastAsia="Arial" w:hAnsi="Arial" w:cs="Arial"/>
          <w:b/>
          <w:i/>
        </w:rPr>
        <w:t>Artículo 5. Obligaciones del estado</w:t>
      </w:r>
      <w:r w:rsidRPr="003836A1">
        <w:rPr>
          <w:rFonts w:ascii="Arial" w:eastAsia="Arial" w:hAnsi="Arial" w:cs="Arial"/>
          <w:i/>
        </w:rPr>
        <w:t>. El estado es responsable de respetar, proteger y garantizar el goce efectivo del derecho fundamental a la salud; para ello deberá:</w:t>
      </w:r>
    </w:p>
    <w:p w14:paraId="154A7E5D" w14:textId="77777777" w:rsidR="00610266" w:rsidRPr="003836A1" w:rsidRDefault="00610266" w:rsidP="003836A1">
      <w:pPr>
        <w:pBdr>
          <w:top w:val="nil"/>
          <w:left w:val="nil"/>
          <w:bottom w:val="nil"/>
          <w:right w:val="nil"/>
          <w:between w:val="nil"/>
        </w:pBdr>
        <w:ind w:left="426"/>
        <w:jc w:val="both"/>
        <w:rPr>
          <w:rFonts w:ascii="Arial" w:eastAsia="Arial" w:hAnsi="Arial" w:cs="Arial"/>
          <w:i/>
        </w:rPr>
      </w:pPr>
    </w:p>
    <w:p w14:paraId="154A7E5E" w14:textId="77777777" w:rsidR="00610266" w:rsidRPr="003836A1" w:rsidRDefault="00F95AB8" w:rsidP="003836A1">
      <w:pPr>
        <w:widowControl/>
        <w:pBdr>
          <w:top w:val="nil"/>
          <w:left w:val="nil"/>
          <w:bottom w:val="nil"/>
          <w:right w:val="nil"/>
          <w:between w:val="nil"/>
        </w:pBdr>
        <w:ind w:left="709"/>
        <w:jc w:val="both"/>
        <w:rPr>
          <w:rFonts w:ascii="Arial" w:eastAsia="Arial" w:hAnsi="Arial" w:cs="Arial"/>
          <w:i/>
        </w:rPr>
      </w:pPr>
      <w:r w:rsidRPr="003836A1">
        <w:rPr>
          <w:rFonts w:ascii="Arial" w:eastAsia="Arial" w:hAnsi="Arial" w:cs="Arial"/>
          <w:i/>
        </w:rPr>
        <w:t>a) abstenerse de afectar directa o indirectamente en el disfrute del derecho fundamental a la salud, de adoptar decisiones que lleven al deterioro de la salud de la población y de realizar cualquier acción u omisión que pueda resultar en un daño en la salud de las personas;</w:t>
      </w:r>
    </w:p>
    <w:p w14:paraId="154A7E5F" w14:textId="77777777" w:rsidR="00610266" w:rsidRPr="003836A1" w:rsidRDefault="00F95AB8" w:rsidP="003836A1">
      <w:pPr>
        <w:widowControl/>
        <w:pBdr>
          <w:top w:val="nil"/>
          <w:left w:val="nil"/>
          <w:bottom w:val="nil"/>
          <w:right w:val="nil"/>
          <w:between w:val="nil"/>
        </w:pBdr>
        <w:ind w:left="709"/>
        <w:jc w:val="both"/>
        <w:rPr>
          <w:rFonts w:ascii="Arial" w:eastAsia="Arial" w:hAnsi="Arial" w:cs="Arial"/>
          <w:i/>
        </w:rPr>
      </w:pPr>
      <w:r w:rsidRPr="003836A1">
        <w:rPr>
          <w:rFonts w:ascii="Arial" w:eastAsia="Arial" w:hAnsi="Arial" w:cs="Arial"/>
          <w:i/>
        </w:rPr>
        <w:t>b) formular y adoptar políticas de salud dirigidas a garantizar el goce efectivo del derecho en igualdad de trato y oportunidades para toda la población, asegurando para ello la coordinación armónica de las acciones de todos los agentes del sistema;</w:t>
      </w:r>
    </w:p>
    <w:p w14:paraId="154A7E60" w14:textId="77777777" w:rsidR="00610266" w:rsidRPr="003836A1" w:rsidRDefault="00F95AB8" w:rsidP="003836A1">
      <w:pPr>
        <w:widowControl/>
        <w:pBdr>
          <w:top w:val="nil"/>
          <w:left w:val="nil"/>
          <w:bottom w:val="nil"/>
          <w:right w:val="nil"/>
          <w:between w:val="nil"/>
        </w:pBdr>
        <w:ind w:left="709"/>
        <w:jc w:val="both"/>
        <w:rPr>
          <w:rFonts w:ascii="Arial" w:eastAsia="Arial" w:hAnsi="Arial" w:cs="Arial"/>
          <w:i/>
        </w:rPr>
      </w:pPr>
      <w:r w:rsidRPr="003836A1">
        <w:rPr>
          <w:rFonts w:ascii="Arial" w:eastAsia="Arial" w:hAnsi="Arial" w:cs="Arial"/>
          <w:i/>
        </w:rPr>
        <w:t>c) formular y adoptar políticas que propendan por la promoción de la salud, prevención y atención de la enfermedad y rehabilitación de sus secuelas, mediante acciones colectivas e individuales;</w:t>
      </w:r>
    </w:p>
    <w:p w14:paraId="154A7E61" w14:textId="77777777" w:rsidR="00610266" w:rsidRPr="003836A1" w:rsidRDefault="00F95AB8" w:rsidP="003836A1">
      <w:pPr>
        <w:widowControl/>
        <w:pBdr>
          <w:top w:val="nil"/>
          <w:left w:val="nil"/>
          <w:bottom w:val="nil"/>
          <w:right w:val="nil"/>
          <w:between w:val="nil"/>
        </w:pBdr>
        <w:ind w:left="709"/>
        <w:jc w:val="both"/>
        <w:rPr>
          <w:rFonts w:ascii="Arial" w:eastAsia="Arial" w:hAnsi="Arial" w:cs="Arial"/>
          <w:i/>
        </w:rPr>
      </w:pPr>
      <w:r w:rsidRPr="003836A1">
        <w:rPr>
          <w:rFonts w:ascii="Arial" w:eastAsia="Arial" w:hAnsi="Arial" w:cs="Arial"/>
          <w:i/>
        </w:rPr>
        <w:t>d) &lt;literal condicionalmente exequible&gt; establecer mecanismos para evitar la violación del derecho fundamental a la salud y determinar su régimen sancionatorio;</w:t>
      </w:r>
    </w:p>
    <w:p w14:paraId="154A7E62" w14:textId="77777777" w:rsidR="00610266" w:rsidRPr="003836A1" w:rsidRDefault="00F95AB8" w:rsidP="003836A1">
      <w:pPr>
        <w:widowControl/>
        <w:pBdr>
          <w:top w:val="nil"/>
          <w:left w:val="nil"/>
          <w:bottom w:val="nil"/>
          <w:right w:val="nil"/>
          <w:between w:val="nil"/>
        </w:pBdr>
        <w:ind w:left="709"/>
        <w:jc w:val="both"/>
        <w:rPr>
          <w:rFonts w:ascii="Arial" w:eastAsia="Arial" w:hAnsi="Arial" w:cs="Arial"/>
          <w:i/>
        </w:rPr>
      </w:pPr>
      <w:r w:rsidRPr="003836A1">
        <w:rPr>
          <w:rFonts w:ascii="Arial" w:eastAsia="Arial" w:hAnsi="Arial" w:cs="Arial"/>
          <w:i/>
        </w:rPr>
        <w:t>e) ejercer una adecuada inspección, vigilancia y control mediante un órgano y/o las entidades especializadas que se determinen para el efecto;</w:t>
      </w:r>
    </w:p>
    <w:p w14:paraId="154A7E63" w14:textId="77777777" w:rsidR="00610266" w:rsidRPr="003836A1" w:rsidRDefault="00F95AB8" w:rsidP="003836A1">
      <w:pPr>
        <w:widowControl/>
        <w:pBdr>
          <w:top w:val="nil"/>
          <w:left w:val="nil"/>
          <w:bottom w:val="nil"/>
          <w:right w:val="nil"/>
          <w:between w:val="nil"/>
        </w:pBdr>
        <w:ind w:left="709"/>
        <w:jc w:val="both"/>
        <w:rPr>
          <w:rFonts w:ascii="Arial" w:eastAsia="Arial" w:hAnsi="Arial" w:cs="Arial"/>
          <w:i/>
        </w:rPr>
      </w:pPr>
      <w:r w:rsidRPr="003836A1">
        <w:rPr>
          <w:rFonts w:ascii="Arial" w:eastAsia="Arial" w:hAnsi="Arial" w:cs="Arial"/>
          <w:i/>
        </w:rPr>
        <w:t>f) velar por el cumplimiento de los principios del derecho fundamental a la salud en todo el territorio nacional, según las necesidades de salud de la población;</w:t>
      </w:r>
    </w:p>
    <w:p w14:paraId="154A7E64" w14:textId="77777777" w:rsidR="00610266" w:rsidRPr="003836A1" w:rsidRDefault="00F95AB8" w:rsidP="003836A1">
      <w:pPr>
        <w:widowControl/>
        <w:pBdr>
          <w:top w:val="nil"/>
          <w:left w:val="nil"/>
          <w:bottom w:val="nil"/>
          <w:right w:val="nil"/>
          <w:between w:val="nil"/>
        </w:pBdr>
        <w:ind w:left="709"/>
        <w:jc w:val="both"/>
        <w:rPr>
          <w:rFonts w:ascii="Arial" w:eastAsia="Arial" w:hAnsi="Arial" w:cs="Arial"/>
          <w:i/>
        </w:rPr>
      </w:pPr>
      <w:r w:rsidRPr="003836A1">
        <w:rPr>
          <w:rFonts w:ascii="Arial" w:eastAsia="Arial" w:hAnsi="Arial" w:cs="Arial"/>
          <w:i/>
        </w:rPr>
        <w:t>g) realizar el seguimiento continuo de la evolución de las condiciones de salud de la población a lo largo del ciclo de vida de las personas;</w:t>
      </w:r>
    </w:p>
    <w:p w14:paraId="154A7E65" w14:textId="77777777" w:rsidR="00610266" w:rsidRPr="003836A1" w:rsidRDefault="00F95AB8" w:rsidP="003836A1">
      <w:pPr>
        <w:widowControl/>
        <w:pBdr>
          <w:top w:val="nil"/>
          <w:left w:val="nil"/>
          <w:bottom w:val="nil"/>
          <w:right w:val="nil"/>
          <w:between w:val="nil"/>
        </w:pBdr>
        <w:ind w:left="709"/>
        <w:jc w:val="both"/>
        <w:rPr>
          <w:rFonts w:ascii="Arial" w:eastAsia="Arial" w:hAnsi="Arial" w:cs="Arial"/>
          <w:i/>
        </w:rPr>
      </w:pPr>
      <w:r w:rsidRPr="003836A1">
        <w:rPr>
          <w:rFonts w:ascii="Arial" w:eastAsia="Arial" w:hAnsi="Arial" w:cs="Arial"/>
          <w:i/>
        </w:rPr>
        <w:t>h) realizar evaluaciones sobre los resultados de goce efectivo del derecho fundamental a la salud, en función de sus principios y sobre la forma como el sistema avanza de manera razonable y progresiva en la garantía al derecho fundamental de salud;</w:t>
      </w:r>
    </w:p>
    <w:p w14:paraId="154A7E66" w14:textId="77777777" w:rsidR="00610266" w:rsidRPr="003836A1" w:rsidRDefault="00F95AB8" w:rsidP="003836A1">
      <w:pPr>
        <w:widowControl/>
        <w:pBdr>
          <w:top w:val="nil"/>
          <w:left w:val="nil"/>
          <w:bottom w:val="nil"/>
          <w:right w:val="nil"/>
          <w:between w:val="nil"/>
        </w:pBdr>
        <w:ind w:left="709"/>
        <w:jc w:val="both"/>
        <w:rPr>
          <w:rFonts w:ascii="Arial" w:eastAsia="Arial" w:hAnsi="Arial" w:cs="Arial"/>
          <w:i/>
        </w:rPr>
      </w:pPr>
      <w:r w:rsidRPr="003836A1">
        <w:rPr>
          <w:rFonts w:ascii="Arial" w:eastAsia="Arial" w:hAnsi="Arial" w:cs="Arial"/>
          <w:i/>
        </w:rPr>
        <w:t>i) &lt;literal condicionalmente exequible&gt;adoptar la regulación y las políticas indispensables para financiar de manera sostenible los servicios de salud y garantizar el flujo de los recursos para atender de manera oportuna y suficiente las necesidades en salud de la población;</w:t>
      </w:r>
    </w:p>
    <w:p w14:paraId="154A7E67" w14:textId="77777777" w:rsidR="00610266" w:rsidRPr="003836A1" w:rsidRDefault="00610266" w:rsidP="003836A1">
      <w:pPr>
        <w:widowControl/>
        <w:pBdr>
          <w:top w:val="nil"/>
          <w:left w:val="nil"/>
          <w:bottom w:val="nil"/>
          <w:right w:val="nil"/>
          <w:between w:val="nil"/>
        </w:pBdr>
        <w:ind w:left="709"/>
        <w:jc w:val="both"/>
        <w:rPr>
          <w:rFonts w:ascii="Arial" w:eastAsia="Arial" w:hAnsi="Arial" w:cs="Arial"/>
          <w:i/>
        </w:rPr>
      </w:pPr>
    </w:p>
    <w:p w14:paraId="154A7E68" w14:textId="77777777" w:rsidR="00610266" w:rsidRPr="003836A1" w:rsidRDefault="00F95AB8" w:rsidP="003836A1">
      <w:pPr>
        <w:widowControl/>
        <w:pBdr>
          <w:top w:val="nil"/>
          <w:left w:val="nil"/>
          <w:bottom w:val="nil"/>
          <w:right w:val="nil"/>
          <w:between w:val="nil"/>
        </w:pBdr>
        <w:ind w:left="709"/>
        <w:jc w:val="both"/>
        <w:rPr>
          <w:rFonts w:ascii="Arial" w:eastAsia="Arial" w:hAnsi="Arial" w:cs="Arial"/>
          <w:i/>
        </w:rPr>
      </w:pPr>
      <w:r w:rsidRPr="003836A1">
        <w:rPr>
          <w:rFonts w:ascii="Arial" w:eastAsia="Arial" w:hAnsi="Arial" w:cs="Arial"/>
          <w:i/>
        </w:rPr>
        <w:t>j) intervenir el mercado de medicamentos, dispositivos médicos e insumos en salud con el fin de optimizar su utilización, evitar las inequidades en el acceso, asegurar la calidad de los mismos o en general cuando pueda derivarse una grave afectación de la prestación del servicio.</w:t>
      </w:r>
    </w:p>
    <w:p w14:paraId="154A7E69" w14:textId="77777777" w:rsidR="00610266" w:rsidRPr="003836A1" w:rsidRDefault="00610266" w:rsidP="003836A1">
      <w:pPr>
        <w:widowControl/>
        <w:pBdr>
          <w:top w:val="nil"/>
          <w:left w:val="nil"/>
          <w:bottom w:val="nil"/>
          <w:right w:val="nil"/>
          <w:between w:val="nil"/>
        </w:pBdr>
        <w:ind w:left="709"/>
        <w:jc w:val="both"/>
        <w:rPr>
          <w:rFonts w:ascii="Arial" w:eastAsia="Arial" w:hAnsi="Arial" w:cs="Arial"/>
          <w:i/>
        </w:rPr>
      </w:pPr>
    </w:p>
    <w:p w14:paraId="154A7E6A" w14:textId="77777777" w:rsidR="00610266" w:rsidRPr="003836A1" w:rsidRDefault="00F95AB8" w:rsidP="003836A1">
      <w:pPr>
        <w:ind w:left="426"/>
        <w:jc w:val="both"/>
        <w:rPr>
          <w:rFonts w:ascii="Arial" w:eastAsia="Arial" w:hAnsi="Arial" w:cs="Arial"/>
          <w:i/>
        </w:rPr>
      </w:pPr>
      <w:bookmarkStart w:id="15" w:name="bookmark=id.lnxbz9" w:colFirst="0" w:colLast="0"/>
      <w:bookmarkEnd w:id="15"/>
      <w:r w:rsidRPr="003836A1">
        <w:rPr>
          <w:rFonts w:ascii="Arial" w:eastAsia="Arial" w:hAnsi="Arial" w:cs="Arial"/>
          <w:b/>
          <w:i/>
        </w:rPr>
        <w:t>Artículo 9. Determinantes sociales de salud.</w:t>
      </w:r>
      <w:r w:rsidRPr="003836A1">
        <w:rPr>
          <w:rFonts w:ascii="Arial" w:eastAsia="Arial" w:hAnsi="Arial" w:cs="Arial"/>
          <w:i/>
        </w:rPr>
        <w:t> Es deber del estado adoptar políticas públicas dirigidas a lograr la reducción de las desigualdades de los determinantes sociales de la salud que incidan en el goce efectivo del derecho a la salud, promover el mejoramiento de la salud, prevenir la enfermedad y elevar el nivel de la calidad de vida. Estas políticas estarán orientadas principalmente al logro de la equidad en salud.</w:t>
      </w:r>
    </w:p>
    <w:p w14:paraId="154A7E6B" w14:textId="77777777" w:rsidR="00610266" w:rsidRPr="003836A1" w:rsidRDefault="00610266" w:rsidP="003836A1">
      <w:pPr>
        <w:ind w:left="426"/>
        <w:jc w:val="both"/>
        <w:rPr>
          <w:rFonts w:ascii="Arial" w:eastAsia="Arial" w:hAnsi="Arial" w:cs="Arial"/>
          <w:i/>
        </w:rPr>
      </w:pPr>
    </w:p>
    <w:p w14:paraId="154A7E6C"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El legislador creará los mecanismos que permitan identificar situaciones o políticas de otros sectores que tienen un impacto directo en los resultados en salud y determinará los procesos para que las autoridades del sector salud participen en la toma de decisiones conducentes al mejoramiento de dichos resultados.</w:t>
      </w:r>
    </w:p>
    <w:p w14:paraId="154A7E6D" w14:textId="77777777" w:rsidR="00610266" w:rsidRPr="003836A1" w:rsidRDefault="00610266" w:rsidP="003836A1">
      <w:pPr>
        <w:ind w:left="426"/>
        <w:jc w:val="both"/>
        <w:rPr>
          <w:rFonts w:ascii="Arial" w:eastAsia="Arial" w:hAnsi="Arial" w:cs="Arial"/>
          <w:i/>
        </w:rPr>
      </w:pPr>
    </w:p>
    <w:p w14:paraId="154A7E6E"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Parágrafo. Se entiende por determinantes sociales de salud aquellos factores que determinan la aparición de la enfermedad, tales como los sociales, económicos, culturales, nutricionales, ambientales, ocupacionales, habitacionales, de educación y de acceso a los servicios públicos, los cuales serán financiados con recursos diferentes a los destinados al cubrimiento de los servicios y tecnologías de salud.</w:t>
      </w:r>
    </w:p>
    <w:p w14:paraId="154A7E6F" w14:textId="77777777" w:rsidR="00610266" w:rsidRPr="003836A1" w:rsidRDefault="00610266" w:rsidP="003836A1">
      <w:pPr>
        <w:ind w:left="426"/>
        <w:jc w:val="both"/>
        <w:rPr>
          <w:rFonts w:ascii="Arial" w:eastAsia="Arial" w:hAnsi="Arial" w:cs="Arial"/>
          <w:i/>
        </w:rPr>
      </w:pPr>
    </w:p>
    <w:p w14:paraId="154A7E70" w14:textId="77777777" w:rsidR="00610266" w:rsidRPr="003836A1" w:rsidRDefault="00F95AB8" w:rsidP="003836A1">
      <w:pPr>
        <w:ind w:left="426"/>
        <w:jc w:val="both"/>
        <w:rPr>
          <w:rFonts w:ascii="Arial" w:eastAsia="Arial" w:hAnsi="Arial" w:cs="Arial"/>
          <w:i/>
        </w:rPr>
      </w:pPr>
      <w:bookmarkStart w:id="16" w:name="bookmark=id.35nkun2" w:colFirst="0" w:colLast="0"/>
      <w:bookmarkEnd w:id="16"/>
      <w:r w:rsidRPr="003836A1">
        <w:rPr>
          <w:rFonts w:ascii="Arial" w:eastAsia="Arial" w:hAnsi="Arial" w:cs="Arial"/>
          <w:b/>
          <w:i/>
        </w:rPr>
        <w:t>Artículo 20. De la política pública en salud</w:t>
      </w:r>
      <w:r w:rsidRPr="003836A1">
        <w:rPr>
          <w:rFonts w:ascii="Arial" w:eastAsia="Arial" w:hAnsi="Arial" w:cs="Arial"/>
          <w:i/>
        </w:rPr>
        <w:t>. El gobierno nacional deberá implementar una política social de estado que permita la articulación intersectorial con el propósito de garantizar los componentes esenciales del derecho, afectando de manera positiva los determinantes sociales de la salud.</w:t>
      </w:r>
    </w:p>
    <w:p w14:paraId="154A7E71" w14:textId="77777777" w:rsidR="00610266" w:rsidRPr="003836A1" w:rsidRDefault="00610266" w:rsidP="003836A1">
      <w:pPr>
        <w:ind w:left="426"/>
        <w:jc w:val="both"/>
        <w:rPr>
          <w:rFonts w:ascii="Arial" w:eastAsia="Arial" w:hAnsi="Arial" w:cs="Arial"/>
          <w:i/>
        </w:rPr>
      </w:pPr>
    </w:p>
    <w:p w14:paraId="154A7E72"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De igual manera dicha política social de estado se deberá basar en la promoción de la salud, prevención de la enfermedad y su atención integral, oportuna y de calidad, al igual que rehabilitación.</w:t>
      </w:r>
    </w:p>
    <w:p w14:paraId="154A7E73" w14:textId="77777777" w:rsidR="00610266" w:rsidRPr="003836A1" w:rsidRDefault="00610266" w:rsidP="003836A1">
      <w:pPr>
        <w:ind w:left="426"/>
        <w:jc w:val="both"/>
        <w:rPr>
          <w:rFonts w:ascii="Arial" w:eastAsia="Arial" w:hAnsi="Arial" w:cs="Arial"/>
          <w:i/>
        </w:rPr>
      </w:pPr>
    </w:p>
    <w:p w14:paraId="154A7E74" w14:textId="77777777" w:rsidR="00610266" w:rsidRPr="003836A1" w:rsidRDefault="00F95AB8" w:rsidP="003836A1">
      <w:pPr>
        <w:pStyle w:val="Ttulo2"/>
        <w:numPr>
          <w:ilvl w:val="0"/>
          <w:numId w:val="1"/>
        </w:numPr>
        <w:ind w:left="142" w:firstLine="0"/>
        <w:jc w:val="both"/>
        <w:rPr>
          <w:i/>
        </w:rPr>
      </w:pPr>
      <w:r w:rsidRPr="003836A1">
        <w:rPr>
          <w:i/>
        </w:rPr>
        <w:t>Ley 2197 de 2022 “</w:t>
      </w:r>
      <w:r w:rsidRPr="003836A1">
        <w:rPr>
          <w:i/>
          <w:highlight w:val="white"/>
        </w:rPr>
        <w:t>Por medio de la cual se dictan normas tendientes al fortalecimiento de la seguridad ciudadana y se dictan otras disposiciones”</w:t>
      </w:r>
    </w:p>
    <w:p w14:paraId="154A7E75" w14:textId="77777777" w:rsidR="00610266" w:rsidRPr="003836A1" w:rsidRDefault="00610266" w:rsidP="003836A1">
      <w:pPr>
        <w:pStyle w:val="Ttulo2"/>
        <w:ind w:firstLine="119"/>
        <w:jc w:val="both"/>
        <w:rPr>
          <w:i/>
        </w:rPr>
      </w:pPr>
    </w:p>
    <w:p w14:paraId="154A7E76"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b/>
          <w:i/>
        </w:rPr>
        <w:t>Artículo 1°. Objeto</w:t>
      </w:r>
      <w:r w:rsidRPr="003836A1">
        <w:rPr>
          <w:rFonts w:ascii="Arial" w:eastAsia="Arial" w:hAnsi="Arial" w:cs="Arial"/>
          <w:i/>
        </w:rPr>
        <w:t>. La presente ley tiene por objeto el fortalecimiento de la Seguridad Ciudadana, por medio de la inclusión de reformas al </w:t>
      </w:r>
      <w:hyperlink r:id="rId46">
        <w:r w:rsidRPr="003836A1">
          <w:rPr>
            <w:rFonts w:ascii="Arial" w:eastAsia="Arial" w:hAnsi="Arial" w:cs="Arial"/>
            <w:i/>
          </w:rPr>
          <w:t>Código Penal</w:t>
        </w:r>
      </w:hyperlink>
      <w:r w:rsidRPr="003836A1">
        <w:rPr>
          <w:rFonts w:ascii="Arial" w:eastAsia="Arial" w:hAnsi="Arial" w:cs="Arial"/>
          <w:i/>
        </w:rPr>
        <w:t>, al </w:t>
      </w:r>
      <w:hyperlink r:id="rId47">
        <w:r w:rsidRPr="003836A1">
          <w:rPr>
            <w:rFonts w:ascii="Arial" w:eastAsia="Arial" w:hAnsi="Arial" w:cs="Arial"/>
            <w:i/>
          </w:rPr>
          <w:t>Código de Procedimiento Penal</w:t>
        </w:r>
      </w:hyperlink>
      <w:r w:rsidRPr="003836A1">
        <w:rPr>
          <w:rFonts w:ascii="Arial" w:eastAsia="Arial" w:hAnsi="Arial" w:cs="Arial"/>
          <w:i/>
        </w:rPr>
        <w:t>, al </w:t>
      </w:r>
      <w:hyperlink r:id="rId48">
        <w:r w:rsidRPr="003836A1">
          <w:rPr>
            <w:rFonts w:ascii="Arial" w:eastAsia="Arial" w:hAnsi="Arial" w:cs="Arial"/>
            <w:i/>
          </w:rPr>
          <w:t>Código Nacional de Seguridad y Convivencia Ciudadana</w:t>
        </w:r>
      </w:hyperlink>
      <w:r w:rsidRPr="003836A1">
        <w:rPr>
          <w:rFonts w:ascii="Arial" w:eastAsia="Arial" w:hAnsi="Arial" w:cs="Arial"/>
          <w:i/>
        </w:rPr>
        <w:t>, al </w:t>
      </w:r>
      <w:hyperlink r:id="rId49">
        <w:r w:rsidRPr="003836A1">
          <w:rPr>
            <w:rFonts w:ascii="Arial" w:eastAsia="Arial" w:hAnsi="Arial" w:cs="Arial"/>
            <w:i/>
          </w:rPr>
          <w:t>Código de Extinción de Dominio</w:t>
        </w:r>
      </w:hyperlink>
      <w:r w:rsidRPr="003836A1">
        <w:rPr>
          <w:rFonts w:ascii="Arial" w:eastAsia="Arial" w:hAnsi="Arial" w:cs="Arial"/>
          <w:i/>
        </w:rPr>
        <w:t>, al igual que se regula las armas, elementos y dispositivos menos letales, y la sostenibilidad del Registro Nacional de Identificación Balística, así como se dictan otras disposiciones.</w:t>
      </w:r>
    </w:p>
    <w:p w14:paraId="154A7E77" w14:textId="77777777" w:rsidR="00610266" w:rsidRPr="003836A1" w:rsidRDefault="00610266" w:rsidP="003836A1">
      <w:pPr>
        <w:pStyle w:val="Ttulo2"/>
        <w:ind w:left="426"/>
        <w:jc w:val="both"/>
        <w:rPr>
          <w:i/>
        </w:rPr>
      </w:pPr>
    </w:p>
    <w:p w14:paraId="154A7E78" w14:textId="77777777" w:rsidR="00610266" w:rsidRPr="003836A1" w:rsidRDefault="00F95AB8" w:rsidP="003836A1">
      <w:pPr>
        <w:widowControl/>
        <w:shd w:val="clear" w:color="auto" w:fill="FFFFFF"/>
        <w:ind w:left="426"/>
        <w:jc w:val="both"/>
        <w:rPr>
          <w:rFonts w:ascii="Arial" w:eastAsia="Arial" w:hAnsi="Arial" w:cs="Arial"/>
          <w:i/>
          <w:highlight w:val="white"/>
        </w:rPr>
      </w:pPr>
      <w:r w:rsidRPr="003836A1">
        <w:rPr>
          <w:rFonts w:ascii="Arial" w:eastAsia="Arial" w:hAnsi="Arial" w:cs="Arial"/>
          <w:b/>
          <w:i/>
          <w:highlight w:val="white"/>
        </w:rPr>
        <w:t>Artículo</w:t>
      </w:r>
      <w:r w:rsidRPr="003836A1">
        <w:rPr>
          <w:rFonts w:ascii="Arial" w:eastAsia="Arial" w:hAnsi="Arial" w:cs="Arial"/>
          <w:i/>
          <w:highlight w:val="white"/>
        </w:rPr>
        <w:t> </w:t>
      </w:r>
      <w:r w:rsidRPr="003836A1">
        <w:rPr>
          <w:rFonts w:ascii="Arial" w:eastAsia="Arial" w:hAnsi="Arial" w:cs="Arial"/>
          <w:b/>
          <w:i/>
          <w:highlight w:val="white"/>
        </w:rPr>
        <w:t>2°. Finalidad.</w:t>
      </w:r>
      <w:r w:rsidRPr="003836A1">
        <w:rPr>
          <w:rFonts w:ascii="Arial" w:eastAsia="Arial" w:hAnsi="Arial" w:cs="Arial"/>
          <w:i/>
          <w:highlight w:val="white"/>
        </w:rPr>
        <w:t xml:space="preserve"> La presente Ley tiene como fin la creación y el fortalecimiento de los instrumentos jurídicos y los recursos económicos con que deben contar las autoridades para consolidar la seguridad ciudadana. </w:t>
      </w:r>
    </w:p>
    <w:p w14:paraId="154A7E79" w14:textId="77777777" w:rsidR="00610266" w:rsidRPr="003836A1" w:rsidRDefault="00610266" w:rsidP="003836A1">
      <w:pPr>
        <w:shd w:val="clear" w:color="auto" w:fill="FFFFFF"/>
        <w:ind w:left="426"/>
        <w:jc w:val="both"/>
        <w:rPr>
          <w:rFonts w:ascii="Arial" w:eastAsia="Arial" w:hAnsi="Arial" w:cs="Arial"/>
          <w:b/>
          <w:i/>
        </w:rPr>
      </w:pPr>
    </w:p>
    <w:p w14:paraId="154A7E7A" w14:textId="77777777" w:rsidR="00610266" w:rsidRPr="003836A1" w:rsidRDefault="00610266" w:rsidP="003836A1">
      <w:pPr>
        <w:shd w:val="clear" w:color="auto" w:fill="FFFFFF"/>
        <w:ind w:left="426"/>
        <w:jc w:val="both"/>
        <w:rPr>
          <w:rFonts w:ascii="Arial" w:eastAsia="Arial" w:hAnsi="Arial" w:cs="Arial"/>
          <w:b/>
          <w:i/>
        </w:rPr>
      </w:pPr>
    </w:p>
    <w:p w14:paraId="154A7E7B"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b/>
          <w:i/>
        </w:rPr>
        <w:t>Artículo</w:t>
      </w:r>
      <w:r w:rsidRPr="003836A1">
        <w:rPr>
          <w:rFonts w:ascii="Arial" w:eastAsia="Arial" w:hAnsi="Arial" w:cs="Arial"/>
          <w:i/>
        </w:rPr>
        <w:t> </w:t>
      </w:r>
      <w:r w:rsidRPr="003836A1">
        <w:rPr>
          <w:rFonts w:ascii="Arial" w:eastAsia="Arial" w:hAnsi="Arial" w:cs="Arial"/>
          <w:b/>
          <w:i/>
        </w:rPr>
        <w:t>41.</w:t>
      </w:r>
      <w:r w:rsidRPr="003836A1">
        <w:rPr>
          <w:rFonts w:ascii="Arial" w:eastAsia="Arial" w:hAnsi="Arial" w:cs="Arial"/>
          <w:i/>
        </w:rPr>
        <w:t>  Modifíquese el numeral </w:t>
      </w:r>
      <w:hyperlink r:id="rId50" w:anchor="205.n.4">
        <w:r w:rsidRPr="003836A1">
          <w:rPr>
            <w:rFonts w:ascii="Arial" w:eastAsia="Arial" w:hAnsi="Arial" w:cs="Arial"/>
            <w:i/>
          </w:rPr>
          <w:t>4</w:t>
        </w:r>
      </w:hyperlink>
      <w:r w:rsidRPr="003836A1">
        <w:rPr>
          <w:rFonts w:ascii="Arial" w:eastAsia="Arial" w:hAnsi="Arial" w:cs="Arial"/>
          <w:i/>
        </w:rPr>
        <w:t>, y adiciónense los numerales </w:t>
      </w:r>
      <w:hyperlink r:id="rId51" w:anchor="205.n.19">
        <w:r w:rsidRPr="003836A1">
          <w:rPr>
            <w:rFonts w:ascii="Arial" w:eastAsia="Arial" w:hAnsi="Arial" w:cs="Arial"/>
            <w:i/>
          </w:rPr>
          <w:t>19</w:t>
        </w:r>
      </w:hyperlink>
      <w:r w:rsidRPr="003836A1">
        <w:rPr>
          <w:rFonts w:ascii="Arial" w:eastAsia="Arial" w:hAnsi="Arial" w:cs="Arial"/>
          <w:i/>
        </w:rPr>
        <w:t>, </w:t>
      </w:r>
      <w:hyperlink r:id="rId52" w:anchor="205.n.20">
        <w:r w:rsidRPr="003836A1">
          <w:rPr>
            <w:rFonts w:ascii="Arial" w:eastAsia="Arial" w:hAnsi="Arial" w:cs="Arial"/>
            <w:i/>
          </w:rPr>
          <w:t>20</w:t>
        </w:r>
      </w:hyperlink>
      <w:r w:rsidRPr="003836A1">
        <w:rPr>
          <w:rFonts w:ascii="Arial" w:eastAsia="Arial" w:hAnsi="Arial" w:cs="Arial"/>
          <w:i/>
        </w:rPr>
        <w:t> y </w:t>
      </w:r>
      <w:hyperlink r:id="rId53" w:anchor="205.n.21">
        <w:r w:rsidRPr="003836A1">
          <w:rPr>
            <w:rFonts w:ascii="Arial" w:eastAsia="Arial" w:hAnsi="Arial" w:cs="Arial"/>
            <w:i/>
          </w:rPr>
          <w:t>21</w:t>
        </w:r>
      </w:hyperlink>
      <w:r w:rsidRPr="003836A1">
        <w:rPr>
          <w:rFonts w:ascii="Arial" w:eastAsia="Arial" w:hAnsi="Arial" w:cs="Arial"/>
          <w:i/>
        </w:rPr>
        <w:t> al artículo 205 de la Ley 1801 de 2016, el cual quedará así:</w:t>
      </w:r>
    </w:p>
    <w:p w14:paraId="154A7E7C"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 </w:t>
      </w:r>
    </w:p>
    <w:p w14:paraId="154A7E7D"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b/>
          <w:i/>
        </w:rPr>
        <w:t>Artículo 205.</w:t>
      </w:r>
      <w:r w:rsidRPr="003836A1">
        <w:rPr>
          <w:rFonts w:ascii="Arial" w:eastAsia="Arial" w:hAnsi="Arial" w:cs="Arial"/>
          <w:i/>
        </w:rPr>
        <w:t xml:space="preserve"> Atribuciones del alcalde. Corresponde al alcalde:</w:t>
      </w:r>
    </w:p>
    <w:p w14:paraId="154A7E7E"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 </w:t>
      </w:r>
    </w:p>
    <w:p w14:paraId="154A7E7F" w14:textId="77777777" w:rsidR="00610266" w:rsidRPr="003836A1" w:rsidRDefault="00F95AB8" w:rsidP="003836A1">
      <w:pPr>
        <w:shd w:val="clear" w:color="auto" w:fill="FFFFFF"/>
        <w:ind w:left="709"/>
        <w:jc w:val="both"/>
        <w:rPr>
          <w:rFonts w:ascii="Arial" w:eastAsia="Arial" w:hAnsi="Arial" w:cs="Arial"/>
          <w:i/>
          <w:u w:val="single"/>
        </w:rPr>
      </w:pPr>
      <w:r w:rsidRPr="003836A1">
        <w:rPr>
          <w:rFonts w:ascii="Arial" w:eastAsia="Arial" w:hAnsi="Arial" w:cs="Arial"/>
          <w:i/>
          <w:u w:val="single"/>
        </w:rPr>
        <w:t>1. Dirigir y coordinar las autoridades de Policía en el municipio o distrito.</w:t>
      </w:r>
    </w:p>
    <w:p w14:paraId="154A7E80" w14:textId="77777777" w:rsidR="00610266" w:rsidRPr="003836A1" w:rsidRDefault="00F95AB8" w:rsidP="003836A1">
      <w:pPr>
        <w:shd w:val="clear" w:color="auto" w:fill="FFFFFF"/>
        <w:ind w:left="709"/>
        <w:jc w:val="both"/>
        <w:rPr>
          <w:rFonts w:ascii="Arial" w:eastAsia="Arial" w:hAnsi="Arial" w:cs="Arial"/>
          <w:i/>
          <w:u w:val="single"/>
        </w:rPr>
      </w:pPr>
      <w:r w:rsidRPr="003836A1">
        <w:rPr>
          <w:rFonts w:ascii="Arial" w:eastAsia="Arial" w:hAnsi="Arial" w:cs="Arial"/>
          <w:i/>
          <w:u w:val="single"/>
        </w:rPr>
        <w:t> </w:t>
      </w:r>
    </w:p>
    <w:p w14:paraId="154A7E81" w14:textId="77777777" w:rsidR="00610266" w:rsidRPr="003836A1" w:rsidRDefault="00F95AB8" w:rsidP="003836A1">
      <w:pPr>
        <w:shd w:val="clear" w:color="auto" w:fill="FFFFFF"/>
        <w:ind w:left="709"/>
        <w:jc w:val="both"/>
        <w:rPr>
          <w:rFonts w:ascii="Arial" w:eastAsia="Arial" w:hAnsi="Arial" w:cs="Arial"/>
          <w:i/>
          <w:u w:val="single"/>
        </w:rPr>
      </w:pPr>
      <w:r w:rsidRPr="003836A1">
        <w:rPr>
          <w:rFonts w:ascii="Arial" w:eastAsia="Arial" w:hAnsi="Arial" w:cs="Arial"/>
          <w:i/>
          <w:u w:val="single"/>
        </w:rPr>
        <w:t>2. Ejercer la función de Policía para garantizar el ejercicio de los derechos y libertades públicas, así como el cumplimiento de los deberes de conformidad con la Constitución, la Ley y las ordenanzas.</w:t>
      </w:r>
    </w:p>
    <w:p w14:paraId="154A7E82" w14:textId="77777777" w:rsidR="00610266" w:rsidRPr="003836A1" w:rsidRDefault="00F95AB8" w:rsidP="003836A1">
      <w:pPr>
        <w:shd w:val="clear" w:color="auto" w:fill="FFFFFF"/>
        <w:ind w:left="709"/>
        <w:jc w:val="both"/>
        <w:rPr>
          <w:rFonts w:ascii="Arial" w:eastAsia="Arial" w:hAnsi="Arial" w:cs="Arial"/>
          <w:i/>
          <w:u w:val="single"/>
        </w:rPr>
      </w:pPr>
      <w:r w:rsidRPr="003836A1">
        <w:rPr>
          <w:rFonts w:ascii="Arial" w:eastAsia="Arial" w:hAnsi="Arial" w:cs="Arial"/>
          <w:i/>
          <w:u w:val="single"/>
        </w:rPr>
        <w:t> </w:t>
      </w:r>
    </w:p>
    <w:p w14:paraId="154A7E83" w14:textId="77777777" w:rsidR="00610266" w:rsidRPr="003836A1" w:rsidRDefault="00F95AB8" w:rsidP="003836A1">
      <w:pPr>
        <w:shd w:val="clear" w:color="auto" w:fill="FFFFFF"/>
        <w:ind w:left="709"/>
        <w:jc w:val="both"/>
        <w:rPr>
          <w:rFonts w:ascii="Arial" w:eastAsia="Arial" w:hAnsi="Arial" w:cs="Arial"/>
          <w:i/>
          <w:u w:val="single"/>
        </w:rPr>
      </w:pPr>
      <w:r w:rsidRPr="003836A1">
        <w:rPr>
          <w:rFonts w:ascii="Arial" w:eastAsia="Arial" w:hAnsi="Arial" w:cs="Arial"/>
          <w:i/>
          <w:u w:val="single"/>
        </w:rPr>
        <w:t>3. Velar por la aplicación de las normas de Policía en el municipio y por la pronta ejecución de las órdenes y las medidas correctivas que se impongan.</w:t>
      </w:r>
    </w:p>
    <w:p w14:paraId="154A7E84" w14:textId="77777777" w:rsidR="00610266" w:rsidRPr="003836A1" w:rsidRDefault="00F95AB8" w:rsidP="003836A1">
      <w:pPr>
        <w:shd w:val="clear" w:color="auto" w:fill="FFFFFF"/>
        <w:ind w:left="709"/>
        <w:jc w:val="both"/>
        <w:rPr>
          <w:rFonts w:ascii="Arial" w:eastAsia="Arial" w:hAnsi="Arial" w:cs="Arial"/>
          <w:i/>
          <w:u w:val="single"/>
        </w:rPr>
      </w:pPr>
      <w:r w:rsidRPr="003836A1">
        <w:rPr>
          <w:rFonts w:ascii="Arial" w:eastAsia="Arial" w:hAnsi="Arial" w:cs="Arial"/>
          <w:i/>
          <w:u w:val="single"/>
        </w:rPr>
        <w:t> </w:t>
      </w:r>
    </w:p>
    <w:p w14:paraId="154A7E85" w14:textId="77777777" w:rsidR="00610266" w:rsidRPr="003836A1" w:rsidRDefault="00F95AB8" w:rsidP="003836A1">
      <w:pPr>
        <w:shd w:val="clear" w:color="auto" w:fill="FFFFFF"/>
        <w:ind w:left="709"/>
        <w:jc w:val="both"/>
        <w:rPr>
          <w:rFonts w:ascii="Arial" w:eastAsia="Arial" w:hAnsi="Arial" w:cs="Arial"/>
          <w:i/>
          <w:u w:val="single"/>
        </w:rPr>
      </w:pPr>
      <w:r w:rsidRPr="003836A1">
        <w:rPr>
          <w:rFonts w:ascii="Arial" w:eastAsia="Arial" w:hAnsi="Arial" w:cs="Arial"/>
          <w:i/>
          <w:u w:val="single"/>
        </w:rPr>
        <w:t>4. Elaborar e implementar el Plan Integral de Seguridad y Convivencia Ciudadana, dentro de los seis (6) meses del primer año de Gobierno, en el marco de las políticas que para tal efecto establezca el Gobierno nacional, y del plan de desarrollo territorial.</w:t>
      </w:r>
    </w:p>
    <w:p w14:paraId="154A7E86" w14:textId="77777777" w:rsidR="00610266" w:rsidRPr="003836A1" w:rsidRDefault="00F95AB8" w:rsidP="003836A1">
      <w:pPr>
        <w:shd w:val="clear" w:color="auto" w:fill="FFFFFF"/>
        <w:ind w:left="709"/>
        <w:jc w:val="both"/>
        <w:rPr>
          <w:rFonts w:ascii="Arial" w:eastAsia="Arial" w:hAnsi="Arial" w:cs="Arial"/>
          <w:i/>
          <w:u w:val="single"/>
        </w:rPr>
      </w:pPr>
      <w:r w:rsidRPr="003836A1">
        <w:rPr>
          <w:rFonts w:ascii="Arial" w:eastAsia="Arial" w:hAnsi="Arial" w:cs="Arial"/>
          <w:i/>
          <w:u w:val="single"/>
        </w:rPr>
        <w:t> </w:t>
      </w:r>
    </w:p>
    <w:p w14:paraId="154A7E87" w14:textId="77777777" w:rsidR="00610266" w:rsidRPr="003836A1" w:rsidRDefault="00F95AB8" w:rsidP="003836A1">
      <w:pPr>
        <w:shd w:val="clear" w:color="auto" w:fill="FFFFFF"/>
        <w:ind w:left="709"/>
        <w:jc w:val="both"/>
        <w:rPr>
          <w:rFonts w:ascii="Arial" w:eastAsia="Arial" w:hAnsi="Arial" w:cs="Arial"/>
          <w:i/>
          <w:u w:val="single"/>
        </w:rPr>
      </w:pPr>
      <w:r w:rsidRPr="003836A1">
        <w:rPr>
          <w:rFonts w:ascii="Arial" w:eastAsia="Arial" w:hAnsi="Arial" w:cs="Arial"/>
          <w:i/>
          <w:u w:val="single"/>
        </w:rPr>
        <w:t>Los planes de desarrollo territorial deberán contemplar recursos para el cumplimiento del Plan Integral de Seguridad y Convivencia Ciudadana.</w:t>
      </w:r>
    </w:p>
    <w:p w14:paraId="154A7E88"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 </w:t>
      </w:r>
    </w:p>
    <w:p w14:paraId="154A7E89"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5. Crear el Fondo Territorial de Seguridad y Convivencia, de conformidad con las disposiciones que sobre la materia establezca el Gobierno nacional.</w:t>
      </w:r>
    </w:p>
    <w:p w14:paraId="154A7E8A"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 </w:t>
      </w:r>
    </w:p>
    <w:p w14:paraId="154A7E8B" w14:textId="77777777" w:rsidR="00610266" w:rsidRPr="003836A1" w:rsidRDefault="00F95AB8" w:rsidP="003836A1">
      <w:pPr>
        <w:shd w:val="clear" w:color="auto" w:fill="FFFFFF"/>
        <w:ind w:left="709"/>
        <w:jc w:val="both"/>
        <w:rPr>
          <w:rFonts w:ascii="Arial" w:eastAsia="Arial" w:hAnsi="Arial" w:cs="Arial"/>
          <w:i/>
          <w:u w:val="single"/>
        </w:rPr>
      </w:pPr>
      <w:r w:rsidRPr="003836A1">
        <w:rPr>
          <w:rFonts w:ascii="Arial" w:eastAsia="Arial" w:hAnsi="Arial" w:cs="Arial"/>
          <w:i/>
          <w:u w:val="single"/>
        </w:rPr>
        <w:t>6. Coordinar y articular con todas las autoridades y organizaciones sociales, económicas y comunitarias, las políticas y las actividades para la convivencia. (”)</w:t>
      </w:r>
    </w:p>
    <w:p w14:paraId="154A7E8C"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8D" w14:textId="77777777" w:rsidR="00610266" w:rsidRPr="003836A1" w:rsidRDefault="00F95AB8" w:rsidP="003836A1">
      <w:pPr>
        <w:pStyle w:val="Ttulo2"/>
        <w:tabs>
          <w:tab w:val="left" w:pos="830"/>
          <w:tab w:val="left" w:pos="831"/>
        </w:tabs>
        <w:ind w:firstLine="119"/>
      </w:pPr>
      <w:r w:rsidRPr="003836A1">
        <w:t xml:space="preserve">4.4. ORDEN DISTRITAL </w:t>
      </w:r>
    </w:p>
    <w:p w14:paraId="154A7E8E" w14:textId="77777777" w:rsidR="00610266" w:rsidRPr="003836A1" w:rsidRDefault="00610266" w:rsidP="003836A1">
      <w:pPr>
        <w:pStyle w:val="Ttulo2"/>
        <w:tabs>
          <w:tab w:val="left" w:pos="830"/>
          <w:tab w:val="left" w:pos="831"/>
        </w:tabs>
        <w:ind w:firstLine="119"/>
      </w:pPr>
    </w:p>
    <w:p w14:paraId="154A7E8F" w14:textId="77777777" w:rsidR="00610266" w:rsidRPr="003836A1" w:rsidRDefault="00F95AB8" w:rsidP="003836A1">
      <w:pPr>
        <w:pStyle w:val="Ttulo2"/>
        <w:numPr>
          <w:ilvl w:val="0"/>
          <w:numId w:val="1"/>
        </w:numPr>
        <w:ind w:left="142" w:firstLine="0"/>
        <w:jc w:val="both"/>
        <w:rPr>
          <w:i/>
        </w:rPr>
      </w:pPr>
      <w:r w:rsidRPr="003836A1">
        <w:rPr>
          <w:i/>
        </w:rPr>
        <w:t>Decreto 413 de 2016 “Por medio del cual se establece la estructura organizacional y las funciones de las dependencias de la Secretaría Distrital de Seguridad, Convivencia y Justicia y se dictan otras disposiciones”</w:t>
      </w:r>
    </w:p>
    <w:p w14:paraId="154A7E90" w14:textId="77777777" w:rsidR="00610266" w:rsidRPr="003836A1" w:rsidRDefault="00610266" w:rsidP="003836A1">
      <w:pPr>
        <w:pStyle w:val="Ttulo2"/>
        <w:ind w:firstLine="119"/>
        <w:jc w:val="both"/>
      </w:pPr>
    </w:p>
    <w:p w14:paraId="154A7E91" w14:textId="77777777" w:rsidR="00610266" w:rsidRPr="003836A1" w:rsidRDefault="00F95AB8" w:rsidP="003836A1">
      <w:pPr>
        <w:widowControl/>
        <w:shd w:val="clear" w:color="auto" w:fill="FFFFFF"/>
        <w:ind w:left="426"/>
        <w:jc w:val="both"/>
        <w:rPr>
          <w:rFonts w:ascii="Arial" w:eastAsia="Arial" w:hAnsi="Arial" w:cs="Arial"/>
        </w:rPr>
      </w:pPr>
      <w:r w:rsidRPr="003836A1">
        <w:rPr>
          <w:rFonts w:ascii="Arial" w:eastAsia="Arial" w:hAnsi="Arial" w:cs="Arial"/>
          <w:b/>
        </w:rPr>
        <w:t>Artículo</w:t>
      </w:r>
      <w:r w:rsidRPr="003836A1">
        <w:rPr>
          <w:rFonts w:ascii="Arial" w:eastAsia="Arial" w:hAnsi="Arial" w:cs="Arial"/>
        </w:rPr>
        <w:t> </w:t>
      </w:r>
      <w:r w:rsidRPr="003836A1">
        <w:rPr>
          <w:rFonts w:ascii="Arial" w:eastAsia="Arial" w:hAnsi="Arial" w:cs="Arial"/>
          <w:b/>
        </w:rPr>
        <w:t>1°.- Naturaleza.</w:t>
      </w:r>
      <w:r w:rsidRPr="003836A1">
        <w:rPr>
          <w:rFonts w:ascii="Arial" w:eastAsia="Arial" w:hAnsi="Arial" w:cs="Arial"/>
        </w:rPr>
        <w:t> La Secretaría Distrital de Seguridad, Convivencia y Justicia es un organismo del Sector Central con autonomía administrativa y financiera.</w:t>
      </w:r>
    </w:p>
    <w:p w14:paraId="154A7E92" w14:textId="77777777" w:rsidR="00610266" w:rsidRPr="003836A1" w:rsidRDefault="00F95AB8" w:rsidP="003836A1">
      <w:pPr>
        <w:widowControl/>
        <w:shd w:val="clear" w:color="auto" w:fill="FFFFFF"/>
        <w:ind w:left="426"/>
        <w:jc w:val="both"/>
        <w:rPr>
          <w:rFonts w:ascii="Arial" w:eastAsia="Arial" w:hAnsi="Arial" w:cs="Arial"/>
        </w:rPr>
      </w:pPr>
      <w:r w:rsidRPr="003836A1">
        <w:rPr>
          <w:rFonts w:ascii="Arial" w:eastAsia="Arial" w:hAnsi="Arial" w:cs="Arial"/>
        </w:rPr>
        <w:t> </w:t>
      </w:r>
    </w:p>
    <w:p w14:paraId="154A7E93" w14:textId="77777777" w:rsidR="00610266" w:rsidRPr="003836A1" w:rsidRDefault="00F95AB8" w:rsidP="003836A1">
      <w:pPr>
        <w:shd w:val="clear" w:color="auto" w:fill="FFFFFF"/>
        <w:ind w:left="426"/>
        <w:jc w:val="both"/>
        <w:rPr>
          <w:rFonts w:ascii="Arial" w:eastAsia="Arial" w:hAnsi="Arial" w:cs="Arial"/>
        </w:rPr>
      </w:pPr>
      <w:r w:rsidRPr="003836A1">
        <w:rPr>
          <w:rFonts w:ascii="Arial" w:eastAsia="Arial" w:hAnsi="Arial" w:cs="Arial"/>
          <w:b/>
        </w:rPr>
        <w:t>Artículo</w:t>
      </w:r>
      <w:r w:rsidRPr="003836A1">
        <w:rPr>
          <w:rFonts w:ascii="Arial" w:eastAsia="Arial" w:hAnsi="Arial" w:cs="Arial"/>
        </w:rPr>
        <w:t> </w:t>
      </w:r>
      <w:r w:rsidRPr="003836A1">
        <w:rPr>
          <w:rFonts w:ascii="Arial" w:eastAsia="Arial" w:hAnsi="Arial" w:cs="Arial"/>
          <w:b/>
        </w:rPr>
        <w:t>2°.- Objeto. </w:t>
      </w:r>
      <w:r w:rsidRPr="003836A1">
        <w:rPr>
          <w:rFonts w:ascii="Arial" w:eastAsia="Arial" w:hAnsi="Arial" w:cs="Arial"/>
        </w:rPr>
        <w:t>El objeto de la Secretaría Distrital de Seguridad, Convivencia y Justicia consiste en:</w:t>
      </w:r>
    </w:p>
    <w:p w14:paraId="154A7E94" w14:textId="77777777" w:rsidR="00610266" w:rsidRPr="003836A1" w:rsidRDefault="00F95AB8" w:rsidP="003836A1">
      <w:pPr>
        <w:shd w:val="clear" w:color="auto" w:fill="FFFFFF"/>
        <w:ind w:left="426"/>
        <w:jc w:val="both"/>
        <w:rPr>
          <w:rFonts w:ascii="Arial" w:eastAsia="Arial" w:hAnsi="Arial" w:cs="Arial"/>
        </w:rPr>
      </w:pPr>
      <w:r w:rsidRPr="003836A1">
        <w:rPr>
          <w:rFonts w:ascii="Arial" w:eastAsia="Arial" w:hAnsi="Arial" w:cs="Arial"/>
        </w:rPr>
        <w:t> </w:t>
      </w:r>
    </w:p>
    <w:p w14:paraId="154A7E95"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a. Orientar, liderar y ejecutar la política pública para la seguridad ciudadana, convivencia y acceso a los sistemas de justicia;</w:t>
      </w:r>
    </w:p>
    <w:p w14:paraId="154A7E96"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97"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b. Mantener y preservar el orden público en la ciudad;</w:t>
      </w:r>
    </w:p>
    <w:p w14:paraId="154A7E98"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99"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c. Proporcionar bienes y servicios a las autoridades competentes, con el fin de coadyuvar en la efectividad de la seguridad y convivencia ciudadana en Bogotá. D.C.</w:t>
      </w:r>
    </w:p>
    <w:p w14:paraId="154A7E9A"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9B"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d. Coordinar el Sistema Integrado de Seguridad y Emergencias NUSE 123, la integración y coordinación los servicios de emergencia;</w:t>
      </w:r>
    </w:p>
    <w:p w14:paraId="154A7E9C"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9D"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e. Adelantar la coordinación interinstitucional para mejorar las condiciones de seguridad a todos los habitantes del Distrito Capital, en sus fases de prevención, promoción, mantenimiento y restitución y;</w:t>
      </w:r>
    </w:p>
    <w:p w14:paraId="154A7E9E"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9F"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f. Articular los sectores administrativos de coordinación de la Administración Distrital en relación con la seguridad ciudadana y su presencia transversal en el Distrito Capital.</w:t>
      </w:r>
    </w:p>
    <w:p w14:paraId="154A7EA0"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A1" w14:textId="77777777" w:rsidR="00610266" w:rsidRPr="003836A1" w:rsidRDefault="00F95AB8" w:rsidP="003836A1">
      <w:pPr>
        <w:shd w:val="clear" w:color="auto" w:fill="FFFFFF"/>
        <w:ind w:left="426"/>
        <w:jc w:val="both"/>
        <w:rPr>
          <w:rFonts w:ascii="Arial" w:eastAsia="Arial" w:hAnsi="Arial" w:cs="Arial"/>
        </w:rPr>
      </w:pPr>
      <w:r w:rsidRPr="003836A1">
        <w:rPr>
          <w:rFonts w:ascii="Arial" w:eastAsia="Arial" w:hAnsi="Arial" w:cs="Arial"/>
          <w:b/>
        </w:rPr>
        <w:t>Artículo</w:t>
      </w:r>
      <w:r w:rsidRPr="003836A1">
        <w:rPr>
          <w:rFonts w:ascii="Arial" w:eastAsia="Arial" w:hAnsi="Arial" w:cs="Arial"/>
        </w:rPr>
        <w:t> </w:t>
      </w:r>
      <w:r w:rsidRPr="003836A1">
        <w:rPr>
          <w:rFonts w:ascii="Arial" w:eastAsia="Arial" w:hAnsi="Arial" w:cs="Arial"/>
          <w:b/>
        </w:rPr>
        <w:t>3°.- Funciones básicas.</w:t>
      </w:r>
      <w:r w:rsidRPr="003836A1">
        <w:rPr>
          <w:rFonts w:ascii="Arial" w:eastAsia="Arial" w:hAnsi="Arial" w:cs="Arial"/>
        </w:rPr>
        <w:t> Además de las atribuciones generales contenidas en el artículo </w:t>
      </w:r>
      <w:hyperlink r:id="rId54" w:anchor="23">
        <w:r w:rsidRPr="003836A1">
          <w:rPr>
            <w:rFonts w:ascii="Arial" w:eastAsia="Arial" w:hAnsi="Arial" w:cs="Arial"/>
          </w:rPr>
          <w:t>23</w:t>
        </w:r>
      </w:hyperlink>
      <w:r w:rsidRPr="003836A1">
        <w:rPr>
          <w:rFonts w:ascii="Arial" w:eastAsia="Arial" w:hAnsi="Arial" w:cs="Arial"/>
        </w:rPr>
        <w:t> del Acuerdo Distrital 257 de 2006, son funciones básicas de la Secretaría Distrital de Seguridad, Convivencia y Justicia las siguientes:</w:t>
      </w:r>
    </w:p>
    <w:p w14:paraId="154A7EA2"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A3"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a. Recopilar, centralizar y coordinar la información sobre seguridad ciudadana y sistemas de acceso a la justicia de manera cualitativa y cuantitativa, incluyendo aquella relativa a las reacciones, posturas, propuestas y acciones de otras autoridades, de la sociedad civil.</w:t>
      </w:r>
    </w:p>
    <w:p w14:paraId="154A7EA4"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A5"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b. Definir los lineamientos estratégicos para la seguridad ciudadana y el orden público con las instituciones, entidades y organismos de seguridad del nivel territorial y Nacional.</w:t>
      </w:r>
    </w:p>
    <w:p w14:paraId="154A7EA6"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A7"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c. Liderar, orientar y coordinar con las entidades distritales competentes, el diseño, la formulación, la adopción y la ejecución de políticas, planes, programas y proyectos de prevención y cultura ciudadana que promuevan la convivencia, la resolución pacífica de conflictos y el cumplimento de la ley.</w:t>
      </w:r>
    </w:p>
    <w:p w14:paraId="154A7EA8"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A9"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d. Participar con la Policía Metropolitana de Bogotá. D.C., en la identificación de líneas generales de diseño, formulación, adopción, seguimiento y evaluación de planes, proyectos y programas en seguridad ciudadana, que deban ser ejecutados por dicha institución, siguiendo las directrices, instrucciones y órdenes de la primera autoridad de Policía del Distrito Capital.</w:t>
      </w:r>
    </w:p>
    <w:p w14:paraId="154A7EAA"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AB"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e. Liderar, orientar y coordinar la formulación, la adopción y ejecución de políticas, planes, programas y proyectos dirigidos a garantizar la convivencia y la seguridad ciudadana y la preservación del orden público en la ciudad.</w:t>
      </w:r>
    </w:p>
    <w:p w14:paraId="154A7EAC"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AD"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f. Liderar, orientar y coordinar la formulación de los Planes Integrales de Seguridad para Bogotá. D.C; y las localidades, de conformidad con lo dispuesto por el Acuerdo Distrital </w:t>
      </w:r>
      <w:hyperlink r:id="rId55">
        <w:r w:rsidRPr="003836A1">
          <w:rPr>
            <w:rFonts w:ascii="Arial" w:eastAsia="Arial" w:hAnsi="Arial" w:cs="Arial"/>
          </w:rPr>
          <w:t>135</w:t>
        </w:r>
      </w:hyperlink>
      <w:r w:rsidRPr="003836A1">
        <w:rPr>
          <w:rFonts w:ascii="Arial" w:eastAsia="Arial" w:hAnsi="Arial" w:cs="Arial"/>
        </w:rPr>
        <w:t> de 2004, o la normativa que lo modifique o sustituya.</w:t>
      </w:r>
    </w:p>
    <w:p w14:paraId="154A7EAE"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AF" w14:textId="77777777" w:rsidR="00610266" w:rsidRPr="003836A1" w:rsidRDefault="00610266" w:rsidP="003836A1">
      <w:pPr>
        <w:shd w:val="clear" w:color="auto" w:fill="FFFFFF"/>
        <w:ind w:left="709"/>
        <w:jc w:val="both"/>
        <w:rPr>
          <w:rFonts w:ascii="Arial" w:eastAsia="Arial" w:hAnsi="Arial" w:cs="Arial"/>
        </w:rPr>
      </w:pPr>
    </w:p>
    <w:p w14:paraId="154A7EB0"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g. Liderar, orientar y coordinar la formulación y adopción de políticas, planes programas y proyectos dirigidos a la promoción, desarrollo y organización de las iniciativas y procesos ciudadanos solidarios desde la perspectiva de seguridad ciudadana.</w:t>
      </w:r>
    </w:p>
    <w:p w14:paraId="154A7EB1"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B2"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h. Coordinar y liderar los consejos distritales y locales de seguridad y ejercer su secretaría técnica.</w:t>
      </w:r>
    </w:p>
    <w:p w14:paraId="154A7EB3"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B4"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i. Orientar y apoyar los programas de Policía Cívica en la ciudad de Bogotá. D.C. de acuerdo con los lineamientos establecidos en la ley.</w:t>
      </w:r>
    </w:p>
    <w:p w14:paraId="154A7EB5"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B6"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j. Implementar mecanismos de cooperación con las entidades y organismos nacionales e internacionales, de acuerdo con la normativa que regula las actividades de inteligencia y contrainteligencia en Colombia y las directrices que sobre la materia expida el Gobierno Nacional.</w:t>
      </w:r>
    </w:p>
    <w:p w14:paraId="154A7EB7" w14:textId="77777777" w:rsidR="00610266" w:rsidRPr="003836A1" w:rsidRDefault="00610266" w:rsidP="003836A1">
      <w:pPr>
        <w:shd w:val="clear" w:color="auto" w:fill="FFFFFF"/>
        <w:ind w:left="709"/>
        <w:jc w:val="both"/>
        <w:rPr>
          <w:rFonts w:ascii="Arial" w:eastAsia="Arial" w:hAnsi="Arial" w:cs="Arial"/>
        </w:rPr>
      </w:pPr>
    </w:p>
    <w:p w14:paraId="154A7EB8"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k. Propiciar las condiciones de seguridad y convivencia pacífica a través del fortalecimiento de las acciones que adelantan la Policía Metropolitana de Bogotá, la Brigada XIII del Ejército Nacional, los Organismos de Seguridad e Inteligencia del Estado con Jurisdicción en el Distrito Capital y en general las autoridades cuya competencia se oriente a la prevención, conservación y mantenimiento del orden público, la seguridad ciudadana y la defensa dentro del perímetro de Bogotá. D.C.</w:t>
      </w:r>
    </w:p>
    <w:p w14:paraId="154A7EB9"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BA"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l. Liderar, orientar y coordinar la formulación, adopción y ejecución de políticas para el mejoramiento de las rutas de acceso a la justicia y el fortalecimiento de los mecanismos de justicia formal, no formal y comunitaria.</w:t>
      </w:r>
    </w:p>
    <w:p w14:paraId="154A7EBB"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BC"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m. Liderar, orientar y coordinar políticas, planes, programas y proyectos dirigidos a la prevención del delito en niños, niñas y adolescentes, y las competencias del Distrito frente al sistema de responsabilidad penal adolescente en coordinación con el Instituto Colombiano de Bienestar Familiar, lCBF.</w:t>
      </w:r>
    </w:p>
    <w:p w14:paraId="154A7EBD"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BE"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n. Liderar, orientar y coordinar la política pública para el mejoramiento de la política carcelaria y penitenciaria en la ciudad de Bogotá. D.C. y la atención al pos penado.</w:t>
      </w:r>
    </w:p>
    <w:p w14:paraId="154A7EBF"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C0"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o. Coordinar las acciones de protección que se requieran para grupos vulnerables en condición especial de riesgo asociado a su seguridad.</w:t>
      </w:r>
    </w:p>
    <w:p w14:paraId="154A7EC1"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C2"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p. Apoyar técnicamente a las Alcaldías Locales en la formulación y adopción de planes, programas y proyectos de seguridad ciudadana, convivencia y acceso a la justicia de acuerdo con los lineamientos definidos por el Alcalde Mayor.</w:t>
      </w:r>
    </w:p>
    <w:p w14:paraId="154A7EC3"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C4"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q. Liderar, orientar y coordinar las acciones sectoriales relacionadas con la seguridad ciudadana, la convivencia y el acceso a la justicia.</w:t>
      </w:r>
    </w:p>
    <w:p w14:paraId="154A7EC5"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C6"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r. Liderar, orientar y coordinar las alianzas estratégicas con las comunidades, el sector privado y las entidades del orden distrital, territorial y Nacional (sic), orientadas a la convivencia, la prevención del delito, la seguridad ciudadana y el acceso a la justicia.</w:t>
      </w:r>
    </w:p>
    <w:p w14:paraId="154A7EC7"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C8"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s. Evaluar y revisar periódicamente el impacto, la pertinencia y la oportunidad de las políticas y estrategias de seguridad ciudadana y acceso a la justicia trazadas por la Alcaldía Mayor y ejecutadas por las entidades y organismos distritales y las Alcaldías Locales.</w:t>
      </w:r>
    </w:p>
    <w:p w14:paraId="154A7EC9"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CA"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t. Fomentar la participación ciudadana para el seguimiento y evaluación de las políticas, planes y programas que adelante la Secretaría Distrital de Seguridad, Convivencia y Justicia.</w:t>
      </w:r>
    </w:p>
    <w:p w14:paraId="154A7ECB"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CC"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u. Adquirir o suministrar los bienes, servicios y contratar las obras que se requieran para el mejoramiento de las condiciones de seguridad, convivencia y acceso a la Justicia en el Distrito Capital.</w:t>
      </w:r>
    </w:p>
    <w:p w14:paraId="154A7ECD"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CE"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v. Coordinar y operar el NUSE 123 del Distrito Capital, de manera conjunta, con la Unidad Administrativa Especial Cuerpo Oficial de Bomberos de Bogotá – UAECOB, el Centro Regulador de Urgencias y Emergencias - CRUE y la Policía Metropolitana de Bogotá MEBOG, con el objetivo de garantizar una respuesta rápida y eficiente para la prevención y atención de los eventos de emergencias y seguridad en el Distrito Capital.</w:t>
      </w:r>
    </w:p>
    <w:p w14:paraId="154A7ECF"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D0"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w. Liderar, orientar y coordinar los servicios de emergencia del Distrito Capital en el marco del primer respondiente.</w:t>
      </w:r>
    </w:p>
    <w:p w14:paraId="154A7ED1"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D2"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x. Liderar, orientar y coordinar la implementación de las tecnologías de la información y la comunicación estratégica para el fortalecimiento de la convivencia, la seguridad y la justicia, en coordinación con las entidades distritales, territoriales y nacionales competentes.</w:t>
      </w:r>
    </w:p>
    <w:p w14:paraId="154A7ED3"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 </w:t>
      </w:r>
    </w:p>
    <w:p w14:paraId="154A7ED4" w14:textId="77777777" w:rsidR="00610266" w:rsidRPr="003836A1" w:rsidRDefault="00F95AB8" w:rsidP="003836A1">
      <w:pPr>
        <w:shd w:val="clear" w:color="auto" w:fill="FFFFFF"/>
        <w:ind w:left="709"/>
        <w:jc w:val="both"/>
        <w:rPr>
          <w:rFonts w:ascii="Arial" w:eastAsia="Arial" w:hAnsi="Arial" w:cs="Arial"/>
        </w:rPr>
      </w:pPr>
      <w:r w:rsidRPr="003836A1">
        <w:rPr>
          <w:rFonts w:ascii="Arial" w:eastAsia="Arial" w:hAnsi="Arial" w:cs="Arial"/>
        </w:rPr>
        <w:t>y. Conocer, dar trámite y decidir del recurso de apelación de las decisiones que profieran los Inspectores y Corregidores Distritales de Policía, respecto de los comportamientos señalados en el artículo 12 del Acuerdo Distrital No. 735 del 9 de enero de 2019. </w:t>
      </w:r>
    </w:p>
    <w:p w14:paraId="154A7ED5" w14:textId="77777777" w:rsidR="00610266" w:rsidRPr="003836A1" w:rsidRDefault="00610266" w:rsidP="003836A1">
      <w:pPr>
        <w:pStyle w:val="Ttulo2"/>
        <w:ind w:left="0"/>
        <w:jc w:val="both"/>
      </w:pPr>
    </w:p>
    <w:p w14:paraId="154A7ED6" w14:textId="77777777" w:rsidR="00610266" w:rsidRPr="003836A1" w:rsidRDefault="00F95AB8" w:rsidP="003836A1">
      <w:pPr>
        <w:pStyle w:val="Ttulo2"/>
        <w:numPr>
          <w:ilvl w:val="0"/>
          <w:numId w:val="1"/>
        </w:numPr>
        <w:ind w:left="142" w:firstLine="0"/>
        <w:jc w:val="both"/>
        <w:rPr>
          <w:i/>
        </w:rPr>
      </w:pPr>
      <w:r w:rsidRPr="003836A1">
        <w:rPr>
          <w:i/>
        </w:rPr>
        <w:t>Decreto 420 de 2017 “Por medio del cual se crea el Comité de Coordinación Distrital de Responsabilidad Penal para Adolescentes y se dictan otras disposiciones”.</w:t>
      </w:r>
    </w:p>
    <w:p w14:paraId="154A7ED7" w14:textId="77777777" w:rsidR="00610266" w:rsidRPr="003836A1" w:rsidRDefault="00610266" w:rsidP="003836A1">
      <w:pPr>
        <w:pStyle w:val="Ttulo2"/>
        <w:ind w:firstLine="119"/>
      </w:pPr>
    </w:p>
    <w:p w14:paraId="154A7ED8"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b/>
          <w:i/>
        </w:rPr>
        <w:t>Artículo 1. Creación.</w:t>
      </w:r>
      <w:r w:rsidRPr="003836A1">
        <w:rPr>
          <w:rFonts w:ascii="Arial" w:eastAsia="Arial" w:hAnsi="Arial" w:cs="Arial"/>
          <w:i/>
        </w:rPr>
        <w:t> Créase el Comité de Coordinación Distrital de Responsabilidad Penal para Adolescentes, como instancia de coordinación y articulación interinstitucional, intersectorial e intersistémica a nivel distrital y entre el Distrito y la Nación, para la fijación de parámetros técnicos en el diseño, ejecución y evaluación de la política pública de infancia y adolescencia al interior del Distrito Capital.</w:t>
      </w:r>
    </w:p>
    <w:p w14:paraId="154A7ED9"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 </w:t>
      </w:r>
    </w:p>
    <w:p w14:paraId="154A7EDA"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El Comité Distrital de Responsabilidad Penal para Adolescentes se articulará con el Consejo Distrital de Política Social y el Comité Operativo Distrital de Infancia y Adolescencia -CODIA de que trata la Resolución 1613 de 2011 expedida por la Secretaría Distrital de Integración Social, o aquella que la modifique, aclare o sustituya, con el fin de adelantar, entre otras, acciones de coordinación, seguimiento, evaluación, y diseño de política respecto del Sistema de Responsabilidad Penal para Adolescente.</w:t>
      </w:r>
    </w:p>
    <w:p w14:paraId="154A7EDB" w14:textId="77777777" w:rsidR="00610266" w:rsidRPr="003836A1" w:rsidRDefault="00610266" w:rsidP="003836A1">
      <w:pPr>
        <w:widowControl/>
        <w:shd w:val="clear" w:color="auto" w:fill="FFFFFF"/>
        <w:ind w:left="426"/>
        <w:jc w:val="both"/>
        <w:rPr>
          <w:rFonts w:ascii="Arial" w:eastAsia="Arial" w:hAnsi="Arial" w:cs="Arial"/>
          <w:i/>
        </w:rPr>
      </w:pPr>
    </w:p>
    <w:p w14:paraId="154A7EDC"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b/>
          <w:i/>
        </w:rPr>
        <w:t>Artículo 2. Objetivo.</w:t>
      </w:r>
      <w:r w:rsidRPr="003836A1">
        <w:rPr>
          <w:rFonts w:ascii="Arial" w:eastAsia="Arial" w:hAnsi="Arial" w:cs="Arial"/>
          <w:i/>
        </w:rPr>
        <w:t> El Comité de Coordinación Distrital de Responsabilidad Penal para Adolescentes estará encargado de fortalecer la articulación de las autoridades y entidades del Sistema de Responsabilidad Penal para Adolescentes, a nivel distrital, con el fin de orientar y dar seguimiento a la implementación de acciones desde un enfoque de Justicia Restaurativa en el Distrito Capital.</w:t>
      </w:r>
    </w:p>
    <w:p w14:paraId="154A7EDD" w14:textId="77777777" w:rsidR="00610266" w:rsidRPr="003836A1" w:rsidRDefault="00610266" w:rsidP="003836A1">
      <w:pPr>
        <w:pStyle w:val="Ttulo2"/>
        <w:ind w:left="426"/>
        <w:rPr>
          <w:b w:val="0"/>
          <w:i/>
        </w:rPr>
      </w:pPr>
    </w:p>
    <w:p w14:paraId="154A7EDE"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b/>
          <w:i/>
        </w:rPr>
        <w:t>Artículo 4. Funciones</w:t>
      </w:r>
      <w:r w:rsidRPr="003836A1">
        <w:rPr>
          <w:rFonts w:ascii="Arial" w:eastAsia="Arial" w:hAnsi="Arial" w:cs="Arial"/>
          <w:i/>
        </w:rPr>
        <w:t>. El Comité Distrital de Coordinación de Responsabilidad Penal para Adolescentes tendrá las siguientes funciones:</w:t>
      </w:r>
    </w:p>
    <w:p w14:paraId="154A7EDF" w14:textId="77777777" w:rsidR="00610266" w:rsidRPr="003836A1" w:rsidRDefault="00610266" w:rsidP="003836A1">
      <w:pPr>
        <w:widowControl/>
        <w:shd w:val="clear" w:color="auto" w:fill="FFFFFF"/>
        <w:ind w:left="426"/>
        <w:jc w:val="both"/>
        <w:rPr>
          <w:rFonts w:ascii="Arial" w:eastAsia="Arial" w:hAnsi="Arial" w:cs="Arial"/>
          <w:i/>
        </w:rPr>
      </w:pPr>
    </w:p>
    <w:p w14:paraId="154A7EE0"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1. Implementar las directrices impartidas por el Sistema Nacional de Coordinación de Responsabilidad Penal para Adolescentes –SNCRPA.</w:t>
      </w:r>
    </w:p>
    <w:p w14:paraId="154A7EE1"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7EE2"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2. Elaborar un plan de acción, el cual deberá estar articulado con el Plan de Acción del Sistema Nacional de Coordinación de Responsabilidad Penal para Adolescentes –SNCRPA.</w:t>
      </w:r>
    </w:p>
    <w:p w14:paraId="154A7EE3" w14:textId="77777777" w:rsidR="00610266" w:rsidRPr="003836A1" w:rsidRDefault="00610266" w:rsidP="003836A1">
      <w:pPr>
        <w:widowControl/>
        <w:shd w:val="clear" w:color="auto" w:fill="FFFFFF"/>
        <w:ind w:left="709"/>
        <w:jc w:val="both"/>
        <w:rPr>
          <w:rFonts w:ascii="Arial" w:eastAsia="Arial" w:hAnsi="Arial" w:cs="Arial"/>
          <w:i/>
        </w:rPr>
      </w:pPr>
    </w:p>
    <w:p w14:paraId="154A7EE4"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3. Preparar la agenda Distrital para ser presentada ante las sesiones ordinarias y extraordinarias del SNCRPA.</w:t>
      </w:r>
    </w:p>
    <w:p w14:paraId="154A7EE5"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7EE6"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4. Definir los lineamientos generales para la conformación y operación del Sistema Distrital de Información de Responsabilidad Penal para Adolescentes, a partir del suministro de información cuantitativa y cualitativa producida por las entidades que hacen parte del Comité Distrital, con el objeto de fortalecer el sistema de información nacional.</w:t>
      </w:r>
    </w:p>
    <w:p w14:paraId="154A7EE7"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7EE8"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5. Participar en los estudios y diagnósticos que propone el Comité Técnico del nivel nacional a través de la generación de insumos.</w:t>
      </w:r>
    </w:p>
    <w:p w14:paraId="154A7EE9"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7EEA"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6. Hacer recomendaciones a partir de las dinámicas Distritales que contribuyan al desarrollo del Comité Técnico Nacional.</w:t>
      </w:r>
    </w:p>
    <w:p w14:paraId="154A7EEB"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7EEC"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7. Realizar seguimiento sobre el cumplimiento de las decisiones proferidas por el Sistema Nacional de Coordinación de Responsabilidad penal para Adolescentes que tengan incidencia en el Distrito Capital.</w:t>
      </w:r>
    </w:p>
    <w:p w14:paraId="154A7EED"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7EEE"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8. Elaborar el diagnóstico del SRPA en el Distrito.</w:t>
      </w:r>
    </w:p>
    <w:p w14:paraId="154A7EEF"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7EF0"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9. Concertar lineamientos para el fortalecimiento de la acción articulada de las entidades distritales hacia un modelo de justicia restaurativa del Sistema de Responsabilidad Penal para Adolescentes al interior del Distrito Capital.</w:t>
      </w:r>
    </w:p>
    <w:p w14:paraId="154A7EF1"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7EF2"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10. Formular orientaciones para que la temática del Sistema de Responsabilidad Penal para Adolescentes sea acogida por el Comité Operativo Distrital de Infancia y Adolescencia e incluida en el Consejo Distrital de Política Social.</w:t>
      </w:r>
    </w:p>
    <w:p w14:paraId="154A7EF3"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7EF4"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11. Orientar, coordinar y articular a nivel del Distrito Capital el diseño de las políticas públicas relacionadas con el Sistema de Responsabilidad Penal para Adolescentes.</w:t>
      </w:r>
    </w:p>
    <w:p w14:paraId="154A7EF5"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7EF6"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12. Presentar informes al Sistema Nacional de Coordinación de Responsabilidad Penal para Adolescentes - SNCRPA, de las reuniones realizadas, de los compromisos adquiridos y de las decisiones adoptadas a nivel distrital.</w:t>
      </w:r>
    </w:p>
    <w:p w14:paraId="154A7EF7" w14:textId="77777777" w:rsidR="00610266" w:rsidRPr="003836A1" w:rsidRDefault="00610266" w:rsidP="003836A1">
      <w:pPr>
        <w:widowControl/>
        <w:shd w:val="clear" w:color="auto" w:fill="FFFFFF"/>
        <w:ind w:left="709"/>
        <w:jc w:val="both"/>
        <w:rPr>
          <w:rFonts w:ascii="Arial" w:eastAsia="Arial" w:hAnsi="Arial" w:cs="Arial"/>
          <w:i/>
        </w:rPr>
      </w:pPr>
    </w:p>
    <w:p w14:paraId="154A7EF8"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13. Generar un informe anual, como insumo para la elaboración de los diagnósticos de infancia y adolescencia y de la rendición pública de cuentas del Distrito.</w:t>
      </w:r>
    </w:p>
    <w:p w14:paraId="154A7EF9"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7EFA"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14. Darse su propio reglamento.</w:t>
      </w:r>
    </w:p>
    <w:p w14:paraId="154A7EFB"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7EFC"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15. Las demás funciones que sean necesarias para el cumplimiento de sus objetivos.</w:t>
      </w:r>
    </w:p>
    <w:p w14:paraId="154A7EFD" w14:textId="77777777" w:rsidR="00610266" w:rsidRPr="003836A1" w:rsidRDefault="00610266" w:rsidP="003836A1">
      <w:pPr>
        <w:pStyle w:val="Ttulo2"/>
        <w:ind w:left="0"/>
        <w:rPr>
          <w:b w:val="0"/>
          <w:i/>
        </w:rPr>
      </w:pPr>
    </w:p>
    <w:p w14:paraId="154A7EFE" w14:textId="77777777" w:rsidR="00610266" w:rsidRPr="003836A1" w:rsidRDefault="00F95AB8" w:rsidP="003836A1">
      <w:pPr>
        <w:pStyle w:val="Ttulo2"/>
        <w:numPr>
          <w:ilvl w:val="0"/>
          <w:numId w:val="1"/>
        </w:numPr>
        <w:ind w:left="142" w:firstLine="0"/>
        <w:jc w:val="both"/>
        <w:rPr>
          <w:i/>
        </w:rPr>
      </w:pPr>
      <w:r w:rsidRPr="003836A1">
        <w:rPr>
          <w:i/>
        </w:rPr>
        <w:t>Decreto 079 de 2018 “</w:t>
      </w:r>
      <w:r w:rsidRPr="003836A1">
        <w:rPr>
          <w:i/>
          <w:highlight w:val="white"/>
        </w:rPr>
        <w:t>Por el cual se modifica parcialmente el Decreto Distrital </w:t>
      </w:r>
      <w:hyperlink r:id="rId56">
        <w:r w:rsidRPr="003836A1">
          <w:rPr>
            <w:i/>
          </w:rPr>
          <w:t>657</w:t>
        </w:r>
      </w:hyperlink>
      <w:r w:rsidRPr="003836A1">
        <w:rPr>
          <w:i/>
          <w:highlight w:val="white"/>
        </w:rPr>
        <w:t> de 2011, en lo atinente con la reglamentación del Consejo Distrital de Seguridad y Convivencia y se dictan otras disposiciones”</w:t>
      </w:r>
    </w:p>
    <w:p w14:paraId="154A7EFF" w14:textId="77777777" w:rsidR="00610266" w:rsidRPr="003836A1" w:rsidRDefault="00610266" w:rsidP="003836A1">
      <w:pPr>
        <w:pStyle w:val="Ttulo2"/>
        <w:ind w:firstLine="119"/>
        <w:jc w:val="both"/>
        <w:rPr>
          <w:i/>
        </w:rPr>
      </w:pPr>
    </w:p>
    <w:p w14:paraId="154A7F00"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b/>
          <w:i/>
        </w:rPr>
        <w:t>Artículo</w:t>
      </w:r>
      <w:r w:rsidRPr="003836A1">
        <w:rPr>
          <w:rFonts w:ascii="Arial" w:eastAsia="Arial" w:hAnsi="Arial" w:cs="Arial"/>
          <w:i/>
        </w:rPr>
        <w:t> </w:t>
      </w:r>
      <w:r w:rsidRPr="003836A1">
        <w:rPr>
          <w:rFonts w:ascii="Arial" w:eastAsia="Arial" w:hAnsi="Arial" w:cs="Arial"/>
          <w:b/>
          <w:i/>
        </w:rPr>
        <w:t>1. Modifíquese</w:t>
      </w:r>
      <w:r w:rsidRPr="003836A1">
        <w:rPr>
          <w:rFonts w:ascii="Arial" w:eastAsia="Arial" w:hAnsi="Arial" w:cs="Arial"/>
          <w:i/>
        </w:rPr>
        <w:t> el artículo </w:t>
      </w:r>
      <w:hyperlink r:id="rId57" w:anchor="38">
        <w:r w:rsidRPr="003836A1">
          <w:rPr>
            <w:rFonts w:ascii="Arial" w:eastAsia="Arial" w:hAnsi="Arial" w:cs="Arial"/>
            <w:i/>
          </w:rPr>
          <w:t>38</w:t>
        </w:r>
      </w:hyperlink>
      <w:r w:rsidRPr="003836A1">
        <w:rPr>
          <w:rFonts w:ascii="Arial" w:eastAsia="Arial" w:hAnsi="Arial" w:cs="Arial"/>
          <w:i/>
        </w:rPr>
        <w:t> del Decreto Distrital 657 de 2011, el cual quedará así, de conformidad con lo dispuesto en el artículo </w:t>
      </w:r>
      <w:hyperlink r:id="rId58" w:anchor="2.2.8.2.1">
        <w:r w:rsidRPr="003836A1">
          <w:rPr>
            <w:rFonts w:ascii="Arial" w:eastAsia="Arial" w:hAnsi="Arial" w:cs="Arial"/>
            <w:i/>
          </w:rPr>
          <w:t>2.2.8.2.1.</w:t>
        </w:r>
      </w:hyperlink>
      <w:r w:rsidRPr="003836A1">
        <w:rPr>
          <w:rFonts w:ascii="Arial" w:eastAsia="Arial" w:hAnsi="Arial" w:cs="Arial"/>
          <w:i/>
        </w:rPr>
        <w:t>, del Decreto Nacional 1284 de 2017:</w:t>
      </w:r>
    </w:p>
    <w:p w14:paraId="154A7F01"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i/>
        </w:rPr>
        <w:t> </w:t>
      </w:r>
    </w:p>
    <w:p w14:paraId="154A7F02"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i/>
        </w:rPr>
        <w:t>"</w:t>
      </w:r>
      <w:r w:rsidRPr="003836A1">
        <w:rPr>
          <w:rFonts w:ascii="Arial" w:eastAsia="Arial" w:hAnsi="Arial" w:cs="Arial"/>
          <w:b/>
          <w:i/>
        </w:rPr>
        <w:t>Artículo 38.- Consejo Distrital de Seguridad y Convivencia:</w:t>
      </w:r>
      <w:r w:rsidRPr="003836A1">
        <w:rPr>
          <w:rFonts w:ascii="Arial" w:eastAsia="Arial" w:hAnsi="Arial" w:cs="Arial"/>
          <w:i/>
        </w:rPr>
        <w:t> Es un cuerpo consultivo y de toma de decisiones en materia de prevención y reacción ante los problemas relacionados con la seguridad y la convivencia ciudadana en el Distrito Capital.</w:t>
      </w:r>
    </w:p>
    <w:p w14:paraId="154A7F03"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i/>
        </w:rPr>
        <w:t> </w:t>
      </w:r>
    </w:p>
    <w:p w14:paraId="154A7F04"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i/>
        </w:rPr>
        <w:t>Constituye la instancia o espacio de coordinación interinstitucional. en los que participan las autoridades político administrativas del Distrito Capital y las autoridades nacionales con la finalidad de propiciar la materialización de los principios de coordinación, concurrencia, subsidiaridad, solidaridad, planeación. complementariedad, eficiencia y responsabilidad entre las autoridades de diferentes órdenes del gobierno, que tienen competencias directas en materia de convivencia y seguridad ciudadana”.</w:t>
      </w:r>
    </w:p>
    <w:p w14:paraId="154A7F05" w14:textId="77777777" w:rsidR="00610266" w:rsidRPr="003836A1" w:rsidRDefault="00610266" w:rsidP="003836A1">
      <w:pPr>
        <w:pStyle w:val="Ttulo2"/>
        <w:ind w:left="0"/>
        <w:jc w:val="both"/>
        <w:rPr>
          <w:i/>
        </w:rPr>
      </w:pPr>
    </w:p>
    <w:p w14:paraId="154A7F06"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b/>
          <w:i/>
        </w:rPr>
        <w:t>Artículo</w:t>
      </w:r>
      <w:r w:rsidRPr="003836A1">
        <w:rPr>
          <w:rFonts w:ascii="Arial" w:eastAsia="Arial" w:hAnsi="Arial" w:cs="Arial"/>
          <w:i/>
        </w:rPr>
        <w:t> </w:t>
      </w:r>
      <w:r w:rsidRPr="003836A1">
        <w:rPr>
          <w:rFonts w:ascii="Arial" w:eastAsia="Arial" w:hAnsi="Arial" w:cs="Arial"/>
          <w:b/>
          <w:i/>
        </w:rPr>
        <w:t>2. Modifíquese</w:t>
      </w:r>
      <w:r w:rsidRPr="003836A1">
        <w:rPr>
          <w:rFonts w:ascii="Arial" w:eastAsia="Arial" w:hAnsi="Arial" w:cs="Arial"/>
          <w:i/>
        </w:rPr>
        <w:t> el artículo </w:t>
      </w:r>
      <w:hyperlink r:id="rId59" w:anchor="39">
        <w:r w:rsidRPr="003836A1">
          <w:rPr>
            <w:rFonts w:ascii="Arial" w:eastAsia="Arial" w:hAnsi="Arial" w:cs="Arial"/>
            <w:i/>
          </w:rPr>
          <w:t>39</w:t>
        </w:r>
      </w:hyperlink>
      <w:r w:rsidRPr="003836A1">
        <w:rPr>
          <w:rFonts w:ascii="Arial" w:eastAsia="Arial" w:hAnsi="Arial" w:cs="Arial"/>
          <w:i/>
        </w:rPr>
        <w:t> del Decreto Distrital 657 de 2011, el cual quedará así, de conformidad con lo dispuesto en el artículo </w:t>
      </w:r>
      <w:hyperlink r:id="rId60" w:anchor="2.2.8.2.1">
        <w:r w:rsidRPr="003836A1">
          <w:rPr>
            <w:rFonts w:ascii="Arial" w:eastAsia="Arial" w:hAnsi="Arial" w:cs="Arial"/>
            <w:i/>
          </w:rPr>
          <w:t>2.2.8.2.1.</w:t>
        </w:r>
      </w:hyperlink>
      <w:r w:rsidRPr="003836A1">
        <w:rPr>
          <w:rFonts w:ascii="Arial" w:eastAsia="Arial" w:hAnsi="Arial" w:cs="Arial"/>
          <w:i/>
        </w:rPr>
        <w:t> del Decreto Nacional 1284 de 2017:</w:t>
      </w:r>
    </w:p>
    <w:p w14:paraId="154A7F07"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i/>
        </w:rPr>
        <w:t> </w:t>
      </w:r>
    </w:p>
    <w:p w14:paraId="154A7F08"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i/>
        </w:rPr>
        <w:t>"</w:t>
      </w:r>
      <w:r w:rsidRPr="003836A1">
        <w:rPr>
          <w:rFonts w:ascii="Arial" w:eastAsia="Arial" w:hAnsi="Arial" w:cs="Arial"/>
          <w:b/>
          <w:i/>
        </w:rPr>
        <w:t>Artículo 39.- Integración del Consejo Distrital de Seguridad y Convivencia.</w:t>
      </w:r>
      <w:r w:rsidRPr="003836A1">
        <w:rPr>
          <w:rFonts w:ascii="Arial" w:eastAsia="Arial" w:hAnsi="Arial" w:cs="Arial"/>
          <w:i/>
        </w:rPr>
        <w:t> El Consejo Distrital de Seguridad y Convivencia estará integrado por:</w:t>
      </w:r>
    </w:p>
    <w:p w14:paraId="154A7F09" w14:textId="77777777" w:rsidR="00610266" w:rsidRPr="003836A1" w:rsidRDefault="00F95AB8" w:rsidP="003836A1">
      <w:pPr>
        <w:shd w:val="clear" w:color="auto" w:fill="FFFFFF"/>
        <w:ind w:left="709" w:right="106"/>
        <w:jc w:val="both"/>
        <w:rPr>
          <w:rFonts w:ascii="Arial" w:eastAsia="Arial" w:hAnsi="Arial" w:cs="Arial"/>
          <w:i/>
        </w:rPr>
      </w:pPr>
      <w:r w:rsidRPr="003836A1">
        <w:rPr>
          <w:rFonts w:ascii="Arial" w:eastAsia="Arial" w:hAnsi="Arial" w:cs="Arial"/>
          <w:i/>
        </w:rPr>
        <w:t> </w:t>
      </w:r>
    </w:p>
    <w:p w14:paraId="154A7F0A" w14:textId="77777777" w:rsidR="00610266" w:rsidRPr="003836A1" w:rsidRDefault="00F95AB8" w:rsidP="003836A1">
      <w:pPr>
        <w:shd w:val="clear" w:color="auto" w:fill="FFFFFF"/>
        <w:ind w:left="709" w:right="106"/>
        <w:jc w:val="both"/>
        <w:rPr>
          <w:rFonts w:ascii="Arial" w:eastAsia="Arial" w:hAnsi="Arial" w:cs="Arial"/>
          <w:i/>
        </w:rPr>
      </w:pPr>
      <w:r w:rsidRPr="003836A1">
        <w:rPr>
          <w:rFonts w:ascii="Arial" w:eastAsia="Arial" w:hAnsi="Arial" w:cs="Arial"/>
          <w:i/>
        </w:rPr>
        <w:t>1. El Alcalde Mayor de Bogotá, quien lo presidirá.</w:t>
      </w:r>
    </w:p>
    <w:p w14:paraId="154A7F0B" w14:textId="77777777" w:rsidR="00610266" w:rsidRPr="003836A1" w:rsidRDefault="00F95AB8" w:rsidP="003836A1">
      <w:pPr>
        <w:shd w:val="clear" w:color="auto" w:fill="FFFFFF"/>
        <w:ind w:left="709" w:right="106"/>
        <w:jc w:val="both"/>
        <w:rPr>
          <w:rFonts w:ascii="Arial" w:eastAsia="Arial" w:hAnsi="Arial" w:cs="Arial"/>
          <w:i/>
        </w:rPr>
      </w:pPr>
      <w:r w:rsidRPr="003836A1">
        <w:rPr>
          <w:rFonts w:ascii="Arial" w:eastAsia="Arial" w:hAnsi="Arial" w:cs="Arial"/>
          <w:i/>
        </w:rPr>
        <w:t>2. El Secretario Distrital de Seguridad, Convivencia y Justicia. </w:t>
      </w:r>
    </w:p>
    <w:p w14:paraId="154A7F0C" w14:textId="77777777" w:rsidR="00610266" w:rsidRPr="003836A1" w:rsidRDefault="00F95AB8" w:rsidP="003836A1">
      <w:pPr>
        <w:shd w:val="clear" w:color="auto" w:fill="FFFFFF"/>
        <w:ind w:left="709" w:right="106"/>
        <w:jc w:val="both"/>
        <w:rPr>
          <w:rFonts w:ascii="Arial" w:eastAsia="Arial" w:hAnsi="Arial" w:cs="Arial"/>
          <w:i/>
        </w:rPr>
      </w:pPr>
      <w:r w:rsidRPr="003836A1">
        <w:rPr>
          <w:rFonts w:ascii="Arial" w:eastAsia="Arial" w:hAnsi="Arial" w:cs="Arial"/>
          <w:i/>
        </w:rPr>
        <w:t>3. El Secretario Distrital de Gobierno.</w:t>
      </w:r>
    </w:p>
    <w:p w14:paraId="154A7F0D" w14:textId="77777777" w:rsidR="00610266" w:rsidRPr="003836A1" w:rsidRDefault="00F95AB8" w:rsidP="003836A1">
      <w:pPr>
        <w:shd w:val="clear" w:color="auto" w:fill="FFFFFF"/>
        <w:ind w:left="709" w:right="106"/>
        <w:jc w:val="both"/>
        <w:rPr>
          <w:rFonts w:ascii="Arial" w:eastAsia="Arial" w:hAnsi="Arial" w:cs="Arial"/>
          <w:i/>
        </w:rPr>
      </w:pPr>
      <w:r w:rsidRPr="003836A1">
        <w:rPr>
          <w:rFonts w:ascii="Arial" w:eastAsia="Arial" w:hAnsi="Arial" w:cs="Arial"/>
          <w:i/>
        </w:rPr>
        <w:t>4. El Comandante de la Unidad Metropolitana de la Policía Nacional de Bogotá, D.C.</w:t>
      </w:r>
    </w:p>
    <w:p w14:paraId="154A7F0E" w14:textId="77777777" w:rsidR="00610266" w:rsidRPr="003836A1" w:rsidRDefault="00F95AB8" w:rsidP="003836A1">
      <w:pPr>
        <w:shd w:val="clear" w:color="auto" w:fill="FFFFFF"/>
        <w:ind w:left="709" w:right="106"/>
        <w:jc w:val="both"/>
        <w:rPr>
          <w:rFonts w:ascii="Arial" w:eastAsia="Arial" w:hAnsi="Arial" w:cs="Arial"/>
          <w:i/>
        </w:rPr>
      </w:pPr>
      <w:r w:rsidRPr="003836A1">
        <w:rPr>
          <w:rFonts w:ascii="Arial" w:eastAsia="Arial" w:hAnsi="Arial" w:cs="Arial"/>
          <w:i/>
        </w:rPr>
        <w:t>5. El Comandante de la Brigada XIII con jurisdicción en el Distrito Capital.</w:t>
      </w:r>
    </w:p>
    <w:p w14:paraId="154A7F0F" w14:textId="77777777" w:rsidR="00610266" w:rsidRPr="003836A1" w:rsidRDefault="00F95AB8" w:rsidP="003836A1">
      <w:pPr>
        <w:shd w:val="clear" w:color="auto" w:fill="FFFFFF"/>
        <w:ind w:left="709" w:right="106"/>
        <w:jc w:val="both"/>
        <w:rPr>
          <w:rFonts w:ascii="Arial" w:eastAsia="Arial" w:hAnsi="Arial" w:cs="Arial"/>
          <w:i/>
        </w:rPr>
      </w:pPr>
      <w:r w:rsidRPr="003836A1">
        <w:rPr>
          <w:rFonts w:ascii="Arial" w:eastAsia="Arial" w:hAnsi="Arial" w:cs="Arial"/>
          <w:i/>
        </w:rPr>
        <w:t>6. El Director Regional del Instituto Colombiano de Bienestar Familiar (ICBF). </w:t>
      </w:r>
    </w:p>
    <w:p w14:paraId="154A7F10" w14:textId="77777777" w:rsidR="00610266" w:rsidRPr="003836A1" w:rsidRDefault="00F95AB8" w:rsidP="003836A1">
      <w:pPr>
        <w:shd w:val="clear" w:color="auto" w:fill="FFFFFF"/>
        <w:ind w:left="709" w:right="106"/>
        <w:jc w:val="both"/>
        <w:rPr>
          <w:rFonts w:ascii="Arial" w:eastAsia="Arial" w:hAnsi="Arial" w:cs="Arial"/>
          <w:i/>
        </w:rPr>
      </w:pPr>
      <w:r w:rsidRPr="003836A1">
        <w:rPr>
          <w:rFonts w:ascii="Arial" w:eastAsia="Arial" w:hAnsi="Arial" w:cs="Arial"/>
          <w:i/>
        </w:rPr>
        <w:t>7. El Director Seccional del Instituto Nacional de Medicina Legal (INML).</w:t>
      </w:r>
    </w:p>
    <w:p w14:paraId="154A7F11" w14:textId="77777777" w:rsidR="00610266" w:rsidRPr="003836A1" w:rsidRDefault="00F95AB8" w:rsidP="003836A1">
      <w:pPr>
        <w:shd w:val="clear" w:color="auto" w:fill="FFFFFF"/>
        <w:ind w:left="709" w:right="106"/>
        <w:jc w:val="both"/>
        <w:rPr>
          <w:rFonts w:ascii="Arial" w:eastAsia="Arial" w:hAnsi="Arial" w:cs="Arial"/>
          <w:i/>
        </w:rPr>
      </w:pPr>
      <w:r w:rsidRPr="003836A1">
        <w:rPr>
          <w:rFonts w:ascii="Arial" w:eastAsia="Arial" w:hAnsi="Arial" w:cs="Arial"/>
          <w:i/>
        </w:rPr>
        <w:t>8. El Director Seccional de la Fiscalía General de la Nación (FGN).</w:t>
      </w:r>
    </w:p>
    <w:p w14:paraId="154A7F12"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i/>
        </w:rPr>
        <w:t> </w:t>
      </w:r>
    </w:p>
    <w:p w14:paraId="154A7F13"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b/>
          <w:i/>
        </w:rPr>
        <w:t>Parágrafo</w:t>
      </w:r>
      <w:r w:rsidRPr="003836A1">
        <w:rPr>
          <w:rFonts w:ascii="Arial" w:eastAsia="Arial" w:hAnsi="Arial" w:cs="Arial"/>
          <w:i/>
        </w:rPr>
        <w:t> </w:t>
      </w:r>
      <w:r w:rsidRPr="003836A1">
        <w:rPr>
          <w:rFonts w:ascii="Arial" w:eastAsia="Arial" w:hAnsi="Arial" w:cs="Arial"/>
          <w:b/>
          <w:i/>
        </w:rPr>
        <w:t>1°.</w:t>
      </w:r>
      <w:r w:rsidRPr="003836A1">
        <w:rPr>
          <w:rFonts w:ascii="Arial" w:eastAsia="Arial" w:hAnsi="Arial" w:cs="Arial"/>
          <w:i/>
        </w:rPr>
        <w:t> Las sesiones en que no acuda el Alcalde Mayor de Bogotá serán presididas por el Secretario Distrital de Seguridad y Convivencia.</w:t>
      </w:r>
    </w:p>
    <w:p w14:paraId="154A7F14" w14:textId="77777777" w:rsidR="00610266" w:rsidRPr="003836A1" w:rsidRDefault="00F95AB8" w:rsidP="003836A1">
      <w:pPr>
        <w:shd w:val="clear" w:color="auto" w:fill="FFFFFF"/>
        <w:ind w:left="426" w:right="106"/>
        <w:jc w:val="both"/>
        <w:rPr>
          <w:rFonts w:ascii="Arial" w:eastAsia="Arial" w:hAnsi="Arial" w:cs="Arial"/>
          <w:b/>
          <w:i/>
        </w:rPr>
      </w:pPr>
      <w:r w:rsidRPr="003836A1">
        <w:rPr>
          <w:rFonts w:ascii="Arial" w:eastAsia="Arial" w:hAnsi="Arial" w:cs="Arial"/>
          <w:b/>
          <w:i/>
        </w:rPr>
        <w:t> </w:t>
      </w:r>
    </w:p>
    <w:p w14:paraId="154A7F15"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b/>
          <w:i/>
        </w:rPr>
        <w:t>Parágrafo</w:t>
      </w:r>
      <w:r w:rsidRPr="003836A1">
        <w:rPr>
          <w:rFonts w:ascii="Arial" w:eastAsia="Arial" w:hAnsi="Arial" w:cs="Arial"/>
          <w:i/>
        </w:rPr>
        <w:t> </w:t>
      </w:r>
      <w:r w:rsidRPr="003836A1">
        <w:rPr>
          <w:rFonts w:ascii="Arial" w:eastAsia="Arial" w:hAnsi="Arial" w:cs="Arial"/>
          <w:b/>
          <w:i/>
        </w:rPr>
        <w:t>2.</w:t>
      </w:r>
      <w:r w:rsidRPr="003836A1">
        <w:rPr>
          <w:rFonts w:ascii="Arial" w:eastAsia="Arial" w:hAnsi="Arial" w:cs="Arial"/>
          <w:i/>
        </w:rPr>
        <w:t> En el evento en que se produzca empale en las votaciones decide quien preside la sesión.</w:t>
      </w:r>
    </w:p>
    <w:p w14:paraId="154A7F16"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b/>
          <w:i/>
        </w:rPr>
        <w:t> </w:t>
      </w:r>
    </w:p>
    <w:p w14:paraId="154A7F17"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b/>
          <w:i/>
        </w:rPr>
        <w:t>Parágrafo</w:t>
      </w:r>
      <w:r w:rsidRPr="003836A1">
        <w:rPr>
          <w:rFonts w:ascii="Arial" w:eastAsia="Arial" w:hAnsi="Arial" w:cs="Arial"/>
          <w:i/>
        </w:rPr>
        <w:t> </w:t>
      </w:r>
      <w:r w:rsidRPr="003836A1">
        <w:rPr>
          <w:rFonts w:ascii="Arial" w:eastAsia="Arial" w:hAnsi="Arial" w:cs="Arial"/>
          <w:b/>
          <w:i/>
        </w:rPr>
        <w:t>3°.</w:t>
      </w:r>
      <w:r w:rsidRPr="003836A1">
        <w:rPr>
          <w:rFonts w:ascii="Arial" w:eastAsia="Arial" w:hAnsi="Arial" w:cs="Arial"/>
          <w:i/>
        </w:rPr>
        <w:t> El Secretario Distrital de Gobierno participará en representación de las localidades del Distrito Capital.</w:t>
      </w:r>
    </w:p>
    <w:p w14:paraId="154A7F18"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b/>
          <w:i/>
        </w:rPr>
        <w:t> </w:t>
      </w:r>
    </w:p>
    <w:p w14:paraId="154A7F19"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b/>
          <w:i/>
        </w:rPr>
        <w:t>Parágrafo</w:t>
      </w:r>
      <w:r w:rsidRPr="003836A1">
        <w:rPr>
          <w:rFonts w:ascii="Arial" w:eastAsia="Arial" w:hAnsi="Arial" w:cs="Arial"/>
          <w:i/>
        </w:rPr>
        <w:t> </w:t>
      </w:r>
      <w:r w:rsidRPr="003836A1">
        <w:rPr>
          <w:rFonts w:ascii="Arial" w:eastAsia="Arial" w:hAnsi="Arial" w:cs="Arial"/>
          <w:b/>
          <w:i/>
        </w:rPr>
        <w:t>4°.</w:t>
      </w:r>
      <w:r w:rsidRPr="003836A1">
        <w:rPr>
          <w:rFonts w:ascii="Arial" w:eastAsia="Arial" w:hAnsi="Arial" w:cs="Arial"/>
          <w:i/>
        </w:rPr>
        <w:t> Dependiendo de los temas que se pretendan tratar en cada sesión se podrá invitar al Consejo Distrital de Seguridad y Convivencia a un delegado del Instituto Nacional Penitenciario y Carcelario (INPEC) y el Director del Grupo Regional de Protección de la Unidad Nacional de Protección (UVI)), quienes participarán con voz, pero sin voto.</w:t>
      </w:r>
    </w:p>
    <w:p w14:paraId="154A7F1A"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i/>
        </w:rPr>
        <w:t> </w:t>
      </w:r>
    </w:p>
    <w:p w14:paraId="154A7F1B"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i/>
        </w:rPr>
        <w:t>También se podrá invitar a las sesiones del Consejo de que trata este Decreto a los funcionarios de las entidades públicas nacionales o territoriales; a personas jurídicas de derecho privado y organizaciones internacionales o nacionales, o a particulares cuya presencia sea necesaria para el cumplimiento de las  funciones propias del Consejo de Seguridad y Convivencia y que tuvieren conocimientos de utilidad para el tratamiento de los temas de seguridad y convivencia que se analizan en estos espacios de coordinación interinstitucional, quienes participaran con voz y sin voto.</w:t>
      </w:r>
    </w:p>
    <w:p w14:paraId="154A7F1C"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i/>
        </w:rPr>
        <w:t> </w:t>
      </w:r>
    </w:p>
    <w:p w14:paraId="154A7F1D"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b/>
          <w:i/>
        </w:rPr>
        <w:t>Parágrafo</w:t>
      </w:r>
      <w:r w:rsidRPr="003836A1">
        <w:rPr>
          <w:rFonts w:ascii="Arial" w:eastAsia="Arial" w:hAnsi="Arial" w:cs="Arial"/>
          <w:i/>
        </w:rPr>
        <w:t> </w:t>
      </w:r>
      <w:r w:rsidRPr="003836A1">
        <w:rPr>
          <w:rFonts w:ascii="Arial" w:eastAsia="Arial" w:hAnsi="Arial" w:cs="Arial"/>
          <w:b/>
          <w:i/>
        </w:rPr>
        <w:t>5°.</w:t>
      </w:r>
      <w:r w:rsidRPr="003836A1">
        <w:rPr>
          <w:rFonts w:ascii="Arial" w:eastAsia="Arial" w:hAnsi="Arial" w:cs="Arial"/>
          <w:i/>
        </w:rPr>
        <w:t> El Presidente de la República podrá a través del Ministerio del Interior, convocar y presidir el Consejo Distrital de Seguridad y Convivencia, sin perjuicio de sus atribuciones constitucionales, conforme al numeral </w:t>
      </w:r>
      <w:hyperlink r:id="rId61" w:anchor="2.2.8.2.10.n.6">
        <w:r w:rsidRPr="003836A1">
          <w:rPr>
            <w:rFonts w:ascii="Arial" w:eastAsia="Arial" w:hAnsi="Arial" w:cs="Arial"/>
            <w:i/>
          </w:rPr>
          <w:t>6</w:t>
        </w:r>
      </w:hyperlink>
      <w:r w:rsidRPr="003836A1">
        <w:rPr>
          <w:rFonts w:ascii="Arial" w:eastAsia="Arial" w:hAnsi="Arial" w:cs="Arial"/>
          <w:i/>
        </w:rPr>
        <w:t> del artículo 2.2.8.2.10 del Decreto Nacional 1284 de 2017.</w:t>
      </w:r>
    </w:p>
    <w:p w14:paraId="154A7F1E"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i/>
        </w:rPr>
        <w:t> </w:t>
      </w:r>
    </w:p>
    <w:p w14:paraId="154A7F1F"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i/>
        </w:rPr>
        <w:t>El Presidente de la República, podrá asistir y presidir el Consejo Distrital de Seguridad y Convivencia en su calidad de suprema autoridad administrativa y de policía en Colombia".</w:t>
      </w:r>
    </w:p>
    <w:p w14:paraId="154A7F20" w14:textId="77777777" w:rsidR="00610266" w:rsidRPr="003836A1" w:rsidRDefault="00610266" w:rsidP="003836A1">
      <w:pPr>
        <w:pStyle w:val="Ttulo2"/>
        <w:ind w:left="0"/>
        <w:jc w:val="both"/>
        <w:rPr>
          <w:b w:val="0"/>
          <w:i/>
        </w:rPr>
      </w:pPr>
    </w:p>
    <w:p w14:paraId="154A7F21"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b/>
          <w:i/>
        </w:rPr>
        <w:t>Artículo</w:t>
      </w:r>
      <w:r w:rsidRPr="003836A1">
        <w:rPr>
          <w:rFonts w:ascii="Arial" w:eastAsia="Arial" w:hAnsi="Arial" w:cs="Arial"/>
          <w:i/>
        </w:rPr>
        <w:t> </w:t>
      </w:r>
      <w:r w:rsidRPr="003836A1">
        <w:rPr>
          <w:rFonts w:ascii="Arial" w:eastAsia="Arial" w:hAnsi="Arial" w:cs="Arial"/>
          <w:b/>
          <w:i/>
        </w:rPr>
        <w:t>8. Modifíquese</w:t>
      </w:r>
      <w:r w:rsidRPr="003836A1">
        <w:rPr>
          <w:rFonts w:ascii="Arial" w:eastAsia="Arial" w:hAnsi="Arial" w:cs="Arial"/>
          <w:i/>
        </w:rPr>
        <w:t> el artículo </w:t>
      </w:r>
      <w:hyperlink r:id="rId62" w:anchor="41">
        <w:r w:rsidRPr="003836A1">
          <w:rPr>
            <w:rFonts w:ascii="Arial" w:eastAsia="Arial" w:hAnsi="Arial" w:cs="Arial"/>
            <w:i/>
          </w:rPr>
          <w:t>41</w:t>
        </w:r>
      </w:hyperlink>
      <w:r w:rsidRPr="003836A1">
        <w:rPr>
          <w:rFonts w:ascii="Arial" w:eastAsia="Arial" w:hAnsi="Arial" w:cs="Arial"/>
          <w:i/>
        </w:rPr>
        <w:t> del Decreto Distrital 657 de 2011, el cual quedará así:</w:t>
      </w:r>
    </w:p>
    <w:p w14:paraId="154A7F22"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i/>
        </w:rPr>
        <w:t> </w:t>
      </w:r>
    </w:p>
    <w:p w14:paraId="154A7F23"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i/>
        </w:rPr>
        <w:t>“</w:t>
      </w:r>
      <w:r w:rsidRPr="003836A1">
        <w:rPr>
          <w:rFonts w:ascii="Arial" w:eastAsia="Arial" w:hAnsi="Arial" w:cs="Arial"/>
          <w:b/>
          <w:i/>
        </w:rPr>
        <w:t>Artículo 41.- Consejo Local de Seguridad y Convivencia.</w:t>
      </w:r>
      <w:r w:rsidRPr="003836A1">
        <w:rPr>
          <w:rFonts w:ascii="Arial" w:eastAsia="Arial" w:hAnsi="Arial" w:cs="Arial"/>
          <w:i/>
        </w:rPr>
        <w:t> Es la instancia técnico jurídica encargada de formular y realizar el seguimiento, evaluación y control de los Planes Integrales de Seguridad y Convivencia Ciudadana (PISCC) del orden local o interlocal aplicables a los cuadrantes y U.P.Z de su jurisdicción o porciones de los mismos, atendiendo las necesidades de Convivencia y Seguridad Ciudadana, en el marco de lo establecido en este Decreto y los Planes Integrales de Seguridad y Convivencia  Ciudadana (PISCC) aprobados por el Comité Territorial de Orden Público del Distrito Capital.</w:t>
      </w:r>
    </w:p>
    <w:p w14:paraId="154A7F24"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i/>
        </w:rPr>
        <w:t> </w:t>
      </w:r>
    </w:p>
    <w:p w14:paraId="154A7F25"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b/>
          <w:i/>
        </w:rPr>
        <w:t>Parágrafo:</w:t>
      </w:r>
      <w:r w:rsidRPr="003836A1">
        <w:rPr>
          <w:rFonts w:ascii="Arial" w:eastAsia="Arial" w:hAnsi="Arial" w:cs="Arial"/>
          <w:i/>
        </w:rPr>
        <w:t> En todo caso de diferencias de criterios para la formulación de los Planes Integrales de Seguridad y Convivencia Ciudadana (PISCC) entre los miembros del Consejo Local de Seguridad y Convivencia, el/la Alcalde/sa local, en su calidad de Jefe de Policía de la localidad dirimirá la diferencia, observando siempre el principio de concurrencia.”</w:t>
      </w:r>
    </w:p>
    <w:p w14:paraId="154A7F26"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i/>
        </w:rPr>
        <w:t> </w:t>
      </w:r>
    </w:p>
    <w:p w14:paraId="154A7F27"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b/>
          <w:i/>
        </w:rPr>
        <w:t>Artículo</w:t>
      </w:r>
      <w:r w:rsidRPr="003836A1">
        <w:rPr>
          <w:rFonts w:ascii="Arial" w:eastAsia="Arial" w:hAnsi="Arial" w:cs="Arial"/>
          <w:i/>
        </w:rPr>
        <w:t> </w:t>
      </w:r>
      <w:r w:rsidRPr="003836A1">
        <w:rPr>
          <w:rFonts w:ascii="Arial" w:eastAsia="Arial" w:hAnsi="Arial" w:cs="Arial"/>
          <w:b/>
          <w:i/>
        </w:rPr>
        <w:t>10. Modifíquese</w:t>
      </w:r>
      <w:r w:rsidRPr="003836A1">
        <w:rPr>
          <w:rFonts w:ascii="Arial" w:eastAsia="Arial" w:hAnsi="Arial" w:cs="Arial"/>
          <w:i/>
        </w:rPr>
        <w:t> el artículo </w:t>
      </w:r>
      <w:hyperlink r:id="rId63" w:anchor="43">
        <w:r w:rsidRPr="003836A1">
          <w:rPr>
            <w:rFonts w:ascii="Arial" w:eastAsia="Arial" w:hAnsi="Arial" w:cs="Arial"/>
            <w:i/>
          </w:rPr>
          <w:t>43</w:t>
        </w:r>
      </w:hyperlink>
      <w:r w:rsidRPr="003836A1">
        <w:rPr>
          <w:rFonts w:ascii="Arial" w:eastAsia="Arial" w:hAnsi="Arial" w:cs="Arial"/>
          <w:i/>
        </w:rPr>
        <w:t> del Decreto Distrital 657 de 2011, el cual quedará así:</w:t>
      </w:r>
    </w:p>
    <w:p w14:paraId="154A7F28"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i/>
        </w:rPr>
        <w:t> </w:t>
      </w:r>
    </w:p>
    <w:p w14:paraId="154A7F29"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i/>
        </w:rPr>
        <w:t>“</w:t>
      </w:r>
      <w:r w:rsidRPr="003836A1">
        <w:rPr>
          <w:rFonts w:ascii="Arial" w:eastAsia="Arial" w:hAnsi="Arial" w:cs="Arial"/>
          <w:b/>
          <w:i/>
        </w:rPr>
        <w:t>Artículo 43.- Funciones del Consejo Local de Seguridad y Convivencia.</w:t>
      </w:r>
      <w:r w:rsidRPr="003836A1">
        <w:rPr>
          <w:rFonts w:ascii="Arial" w:eastAsia="Arial" w:hAnsi="Arial" w:cs="Arial"/>
          <w:i/>
        </w:rPr>
        <w:t> Son funciones del Consejo Local de Seguridad y Convivencia:</w:t>
      </w:r>
    </w:p>
    <w:p w14:paraId="154A7F2A"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i/>
        </w:rPr>
        <w:t> </w:t>
      </w:r>
    </w:p>
    <w:p w14:paraId="154A7F2B" w14:textId="77777777" w:rsidR="00610266" w:rsidRPr="003836A1" w:rsidRDefault="00F95AB8" w:rsidP="003836A1">
      <w:pPr>
        <w:shd w:val="clear" w:color="auto" w:fill="FFFFFF"/>
        <w:ind w:left="709" w:right="106"/>
        <w:jc w:val="both"/>
        <w:rPr>
          <w:rFonts w:ascii="Arial" w:eastAsia="Arial" w:hAnsi="Arial" w:cs="Arial"/>
          <w:i/>
        </w:rPr>
      </w:pPr>
      <w:r w:rsidRPr="003836A1">
        <w:rPr>
          <w:rFonts w:ascii="Arial" w:eastAsia="Arial" w:hAnsi="Arial" w:cs="Arial"/>
          <w:i/>
        </w:rPr>
        <w:t>1. Hacer seguimiento a los Planes Integrales de Seguridad y Convivencia Ciudadana - PISCC - y programas de convivencia y seguridad ciudadana para la Localidad.</w:t>
      </w:r>
    </w:p>
    <w:p w14:paraId="154A7F2C" w14:textId="77777777" w:rsidR="00610266" w:rsidRPr="003836A1" w:rsidRDefault="00F95AB8" w:rsidP="003836A1">
      <w:pPr>
        <w:shd w:val="clear" w:color="auto" w:fill="FFFFFF"/>
        <w:ind w:left="709" w:right="106"/>
        <w:jc w:val="both"/>
        <w:rPr>
          <w:rFonts w:ascii="Arial" w:eastAsia="Arial" w:hAnsi="Arial" w:cs="Arial"/>
          <w:i/>
        </w:rPr>
      </w:pPr>
      <w:r w:rsidRPr="003836A1">
        <w:rPr>
          <w:rFonts w:ascii="Arial" w:eastAsia="Arial" w:hAnsi="Arial" w:cs="Arial"/>
          <w:i/>
        </w:rPr>
        <w:t> 2. Analizar mensualmente en forma cualitativa y cuantitativa las situaciones de seguridad y convivencia de la respectiva localidad.</w:t>
      </w:r>
    </w:p>
    <w:p w14:paraId="154A7F2D" w14:textId="77777777" w:rsidR="00610266" w:rsidRPr="003836A1" w:rsidRDefault="00F95AB8" w:rsidP="003836A1">
      <w:pPr>
        <w:shd w:val="clear" w:color="auto" w:fill="FFFFFF"/>
        <w:ind w:left="709" w:right="106"/>
        <w:jc w:val="both"/>
        <w:rPr>
          <w:rFonts w:ascii="Arial" w:eastAsia="Arial" w:hAnsi="Arial" w:cs="Arial"/>
          <w:i/>
        </w:rPr>
      </w:pPr>
      <w:r w:rsidRPr="003836A1">
        <w:rPr>
          <w:rFonts w:ascii="Arial" w:eastAsia="Arial" w:hAnsi="Arial" w:cs="Arial"/>
          <w:i/>
        </w:rPr>
        <w:t> </w:t>
      </w:r>
    </w:p>
    <w:p w14:paraId="154A7F2E" w14:textId="77777777" w:rsidR="00610266" w:rsidRPr="003836A1" w:rsidRDefault="00F95AB8" w:rsidP="003836A1">
      <w:pPr>
        <w:shd w:val="clear" w:color="auto" w:fill="FFFFFF"/>
        <w:ind w:left="709" w:right="106"/>
        <w:jc w:val="both"/>
        <w:rPr>
          <w:rFonts w:ascii="Arial" w:eastAsia="Arial" w:hAnsi="Arial" w:cs="Arial"/>
          <w:i/>
        </w:rPr>
      </w:pPr>
      <w:r w:rsidRPr="003836A1">
        <w:rPr>
          <w:rFonts w:ascii="Arial" w:eastAsia="Arial" w:hAnsi="Arial" w:cs="Arial"/>
          <w:i/>
        </w:rPr>
        <w:t>3. Adoptar las medidas pertinentes desde lo local encaminadas a la prevención, control y la mitigación de la actividad violenta, contravencional y delictiva en su jurisdicción.</w:t>
      </w:r>
    </w:p>
    <w:p w14:paraId="154A7F2F" w14:textId="77777777" w:rsidR="00610266" w:rsidRPr="003836A1" w:rsidRDefault="00F95AB8" w:rsidP="003836A1">
      <w:pPr>
        <w:shd w:val="clear" w:color="auto" w:fill="FFFFFF"/>
        <w:ind w:left="709" w:right="106"/>
        <w:jc w:val="both"/>
        <w:rPr>
          <w:rFonts w:ascii="Arial" w:eastAsia="Arial" w:hAnsi="Arial" w:cs="Arial"/>
          <w:i/>
        </w:rPr>
      </w:pPr>
      <w:r w:rsidRPr="003836A1">
        <w:rPr>
          <w:rFonts w:ascii="Arial" w:eastAsia="Arial" w:hAnsi="Arial" w:cs="Arial"/>
          <w:i/>
        </w:rPr>
        <w:t> </w:t>
      </w:r>
    </w:p>
    <w:p w14:paraId="154A7F30" w14:textId="77777777" w:rsidR="00610266" w:rsidRPr="003836A1" w:rsidRDefault="00F95AB8" w:rsidP="003836A1">
      <w:pPr>
        <w:shd w:val="clear" w:color="auto" w:fill="FFFFFF"/>
        <w:ind w:left="709" w:right="106"/>
        <w:jc w:val="both"/>
        <w:rPr>
          <w:rFonts w:ascii="Arial" w:eastAsia="Arial" w:hAnsi="Arial" w:cs="Arial"/>
          <w:i/>
        </w:rPr>
      </w:pPr>
      <w:r w:rsidRPr="003836A1">
        <w:rPr>
          <w:rFonts w:ascii="Arial" w:eastAsia="Arial" w:hAnsi="Arial" w:cs="Arial"/>
          <w:i/>
        </w:rPr>
        <w:t>4. Recomendar al Alcalde/sa local los programas que se requieran para dar cumplimiento a la Política Integral de Seguridad, Convivencia Ciudadana y Justicia y a los Planes Integrales de Seguridad, Convivencia Ciudadana –PISCCJ- Distrital, capitulo localidades.</w:t>
      </w:r>
    </w:p>
    <w:p w14:paraId="154A7F31" w14:textId="77777777" w:rsidR="00610266" w:rsidRPr="003836A1" w:rsidRDefault="00F95AB8" w:rsidP="003836A1">
      <w:pPr>
        <w:shd w:val="clear" w:color="auto" w:fill="FFFFFF"/>
        <w:ind w:left="709" w:right="106"/>
        <w:jc w:val="both"/>
        <w:rPr>
          <w:rFonts w:ascii="Arial" w:eastAsia="Arial" w:hAnsi="Arial" w:cs="Arial"/>
          <w:i/>
        </w:rPr>
      </w:pPr>
      <w:r w:rsidRPr="003836A1">
        <w:rPr>
          <w:rFonts w:ascii="Arial" w:eastAsia="Arial" w:hAnsi="Arial" w:cs="Arial"/>
          <w:i/>
        </w:rPr>
        <w:t> </w:t>
      </w:r>
    </w:p>
    <w:p w14:paraId="154A7F32" w14:textId="77777777" w:rsidR="00610266" w:rsidRPr="003836A1" w:rsidRDefault="00F95AB8" w:rsidP="003836A1">
      <w:pPr>
        <w:shd w:val="clear" w:color="auto" w:fill="FFFFFF"/>
        <w:ind w:left="709" w:right="106"/>
        <w:jc w:val="both"/>
        <w:rPr>
          <w:rFonts w:ascii="Arial" w:eastAsia="Arial" w:hAnsi="Arial" w:cs="Arial"/>
          <w:i/>
        </w:rPr>
      </w:pPr>
      <w:r w:rsidRPr="003836A1">
        <w:rPr>
          <w:rFonts w:ascii="Arial" w:eastAsia="Arial" w:hAnsi="Arial" w:cs="Arial"/>
          <w:i/>
        </w:rPr>
        <w:t>5. Proponer por escrito a las autoridades del orden Distrital medidas específicas que se consideren pertinentes para contrarrestar las problemáticas de convivencia y seguridad ciudadana que requieran la intervención del nivel central.</w:t>
      </w:r>
    </w:p>
    <w:p w14:paraId="154A7F33" w14:textId="77777777" w:rsidR="00610266" w:rsidRPr="003836A1" w:rsidRDefault="00F95AB8" w:rsidP="003836A1">
      <w:pPr>
        <w:shd w:val="clear" w:color="auto" w:fill="FFFFFF"/>
        <w:ind w:left="709" w:right="106"/>
        <w:jc w:val="both"/>
        <w:rPr>
          <w:rFonts w:ascii="Arial" w:eastAsia="Arial" w:hAnsi="Arial" w:cs="Arial"/>
          <w:i/>
        </w:rPr>
      </w:pPr>
      <w:r w:rsidRPr="003836A1">
        <w:rPr>
          <w:rFonts w:ascii="Arial" w:eastAsia="Arial" w:hAnsi="Arial" w:cs="Arial"/>
          <w:i/>
        </w:rPr>
        <w:t> </w:t>
      </w:r>
    </w:p>
    <w:p w14:paraId="154A7F34" w14:textId="77777777" w:rsidR="00610266" w:rsidRPr="003836A1" w:rsidRDefault="00F95AB8" w:rsidP="003836A1">
      <w:pPr>
        <w:shd w:val="clear" w:color="auto" w:fill="FFFFFF"/>
        <w:ind w:left="709" w:right="106"/>
        <w:jc w:val="both"/>
        <w:rPr>
          <w:rFonts w:ascii="Arial" w:eastAsia="Arial" w:hAnsi="Arial" w:cs="Arial"/>
          <w:i/>
        </w:rPr>
      </w:pPr>
      <w:r w:rsidRPr="003836A1">
        <w:rPr>
          <w:rFonts w:ascii="Arial" w:eastAsia="Arial" w:hAnsi="Arial" w:cs="Arial"/>
          <w:i/>
        </w:rPr>
        <w:t>6. Generar escenarios de participación ciudadana para la identificación de los problemas de convivencia y seguridad de la Localidad, a través de las Juntas Zonales de Seguridad.</w:t>
      </w:r>
    </w:p>
    <w:p w14:paraId="154A7F35" w14:textId="77777777" w:rsidR="00610266" w:rsidRPr="003836A1" w:rsidRDefault="00F95AB8" w:rsidP="003836A1">
      <w:pPr>
        <w:shd w:val="clear" w:color="auto" w:fill="FFFFFF"/>
        <w:ind w:left="709" w:right="106"/>
        <w:jc w:val="both"/>
        <w:rPr>
          <w:rFonts w:ascii="Arial" w:eastAsia="Arial" w:hAnsi="Arial" w:cs="Arial"/>
          <w:i/>
        </w:rPr>
      </w:pPr>
      <w:r w:rsidRPr="003836A1">
        <w:rPr>
          <w:rFonts w:ascii="Arial" w:eastAsia="Arial" w:hAnsi="Arial" w:cs="Arial"/>
          <w:i/>
        </w:rPr>
        <w:t> </w:t>
      </w:r>
    </w:p>
    <w:p w14:paraId="154A7F36" w14:textId="77777777" w:rsidR="00610266" w:rsidRPr="003836A1" w:rsidRDefault="00F95AB8" w:rsidP="003836A1">
      <w:pPr>
        <w:shd w:val="clear" w:color="auto" w:fill="FFFFFF"/>
        <w:ind w:left="709" w:right="106"/>
        <w:jc w:val="both"/>
        <w:rPr>
          <w:rFonts w:ascii="Arial" w:eastAsia="Arial" w:hAnsi="Arial" w:cs="Arial"/>
          <w:i/>
        </w:rPr>
      </w:pPr>
      <w:r w:rsidRPr="003836A1">
        <w:rPr>
          <w:rFonts w:ascii="Arial" w:eastAsia="Arial" w:hAnsi="Arial" w:cs="Arial"/>
          <w:i/>
        </w:rPr>
        <w:t>7. Las demás que le sean inherentes a su naturaleza.</w:t>
      </w:r>
    </w:p>
    <w:p w14:paraId="154A7F37"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i/>
        </w:rPr>
        <w:t> </w:t>
      </w:r>
    </w:p>
    <w:p w14:paraId="154A7F38" w14:textId="77777777" w:rsidR="00610266" w:rsidRPr="003836A1" w:rsidRDefault="00F95AB8" w:rsidP="003836A1">
      <w:pPr>
        <w:shd w:val="clear" w:color="auto" w:fill="FFFFFF"/>
        <w:ind w:left="426" w:right="106"/>
        <w:jc w:val="both"/>
        <w:rPr>
          <w:rFonts w:ascii="Arial" w:eastAsia="Arial" w:hAnsi="Arial" w:cs="Arial"/>
          <w:i/>
        </w:rPr>
      </w:pPr>
      <w:r w:rsidRPr="003836A1">
        <w:rPr>
          <w:rFonts w:ascii="Arial" w:eastAsia="Arial" w:hAnsi="Arial" w:cs="Arial"/>
          <w:b/>
          <w:i/>
        </w:rPr>
        <w:t>Parágrafo.</w:t>
      </w:r>
      <w:r w:rsidRPr="003836A1">
        <w:rPr>
          <w:rFonts w:ascii="Arial" w:eastAsia="Arial" w:hAnsi="Arial" w:cs="Arial"/>
          <w:i/>
        </w:rPr>
        <w:t> El Consejo Local de Seguridad y Convivencia coordinará el cumplimiento de sus funciones con los Comités Civiles de Convivencia Local, las Juntas Zonales de Seguridad y Convivencia, así como con la Red de Apoyo y Solidaridad Ciudadana, de la respectiva localidad, con el fin de intercambiar información y retroalimentarse para el cumplimiento de las funciones a ellos asignadas, con el objetivo de obtener insumos directos sobre las problemáticas de convivencia y seguridad”.</w:t>
      </w:r>
    </w:p>
    <w:p w14:paraId="154A7F39" w14:textId="77777777" w:rsidR="00610266" w:rsidRPr="003836A1" w:rsidRDefault="00610266" w:rsidP="003836A1">
      <w:pPr>
        <w:pStyle w:val="Ttulo2"/>
        <w:tabs>
          <w:tab w:val="left" w:pos="830"/>
          <w:tab w:val="left" w:pos="831"/>
        </w:tabs>
        <w:ind w:firstLine="119"/>
      </w:pPr>
    </w:p>
    <w:p w14:paraId="154A7F3A" w14:textId="77777777" w:rsidR="00610266" w:rsidRPr="003836A1" w:rsidRDefault="00F95AB8" w:rsidP="003836A1">
      <w:pPr>
        <w:widowControl/>
        <w:numPr>
          <w:ilvl w:val="0"/>
          <w:numId w:val="5"/>
        </w:numPr>
        <w:pBdr>
          <w:top w:val="nil"/>
          <w:left w:val="nil"/>
          <w:bottom w:val="nil"/>
          <w:right w:val="nil"/>
          <w:between w:val="nil"/>
        </w:pBdr>
        <w:shd w:val="clear" w:color="auto" w:fill="FFFFFF"/>
        <w:ind w:left="142" w:firstLine="0"/>
        <w:jc w:val="both"/>
        <w:rPr>
          <w:rFonts w:ascii="Arial" w:eastAsia="Arial" w:hAnsi="Arial" w:cs="Arial"/>
          <w:i/>
          <w:highlight w:val="white"/>
        </w:rPr>
      </w:pPr>
      <w:r w:rsidRPr="003836A1">
        <w:rPr>
          <w:rFonts w:ascii="Arial" w:eastAsia="Arial" w:hAnsi="Arial" w:cs="Arial"/>
          <w:b/>
          <w:i/>
        </w:rPr>
        <w:t xml:space="preserve">Decreto 691 de 2011. </w:t>
      </w:r>
      <w:r w:rsidRPr="003836A1">
        <w:rPr>
          <w:rFonts w:ascii="Arial" w:eastAsia="Arial" w:hAnsi="Arial" w:cs="Arial"/>
          <w:i/>
        </w:rPr>
        <w:t>“</w:t>
      </w:r>
      <w:r w:rsidRPr="003836A1">
        <w:rPr>
          <w:rFonts w:ascii="Arial" w:eastAsia="Arial" w:hAnsi="Arial" w:cs="Arial"/>
          <w:i/>
          <w:highlight w:val="white"/>
        </w:rPr>
        <w:t>Por medio del cual se adopta la Política Pública de Prevención y Atención del Consumo y la Prevención de la Vinculación a la Oferta de Sustancias Psicoactivas en Bogotá, D.C.”</w:t>
      </w:r>
    </w:p>
    <w:p w14:paraId="154A7F3B" w14:textId="77777777" w:rsidR="00610266" w:rsidRPr="003836A1" w:rsidRDefault="00610266" w:rsidP="003836A1">
      <w:pPr>
        <w:widowControl/>
        <w:pBdr>
          <w:top w:val="nil"/>
          <w:left w:val="nil"/>
          <w:bottom w:val="nil"/>
          <w:right w:val="nil"/>
          <w:between w:val="nil"/>
        </w:pBdr>
        <w:shd w:val="clear" w:color="auto" w:fill="FFFFFF"/>
        <w:ind w:left="142"/>
        <w:jc w:val="both"/>
        <w:rPr>
          <w:rFonts w:ascii="Arial" w:eastAsia="Arial" w:hAnsi="Arial" w:cs="Arial"/>
          <w:i/>
          <w:highlight w:val="white"/>
        </w:rPr>
      </w:pPr>
    </w:p>
    <w:p w14:paraId="154A7F3C"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b/>
          <w:i/>
        </w:rPr>
        <w:t>Artículo 5º. Ejes estructurales y líneas estratégicas de acción. </w:t>
      </w:r>
      <w:r w:rsidRPr="003836A1">
        <w:rPr>
          <w:rFonts w:ascii="Arial" w:eastAsia="Arial" w:hAnsi="Arial" w:cs="Arial"/>
          <w:i/>
        </w:rPr>
        <w:t>La Política Pública integra cinco ejes estructurales y dos transversales, cada uno con sus respectivas líneas estratégicas y acciones a desarrollar intersectorialmente, con los actores de competencia en el tema de prevención y atención del consumo y prevención de la vinculación a la oferta de sustancias psicoactivas.</w:t>
      </w:r>
    </w:p>
    <w:p w14:paraId="154A7F3D"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i/>
          <w:highlight w:val="white"/>
        </w:rPr>
      </w:pPr>
    </w:p>
    <w:p w14:paraId="154A7F3E"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b/>
          <w:i/>
        </w:rPr>
        <w:t>Artículo 6º. Eje Estructural. </w:t>
      </w:r>
      <w:r w:rsidRPr="003836A1">
        <w:rPr>
          <w:rFonts w:ascii="Arial" w:eastAsia="Arial" w:hAnsi="Arial" w:cs="Arial"/>
          <w:i/>
        </w:rPr>
        <w:t>Fortalecimiento y/o desarrollo de potencialidades para la vida.</w:t>
      </w:r>
    </w:p>
    <w:p w14:paraId="154A7F3F"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i/>
        </w:rPr>
      </w:pPr>
    </w:p>
    <w:p w14:paraId="154A7F40"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b/>
          <w:i/>
        </w:rPr>
        <w:t>Objetivo. </w:t>
      </w:r>
      <w:r w:rsidRPr="003836A1">
        <w:rPr>
          <w:rFonts w:ascii="Arial" w:eastAsia="Arial" w:hAnsi="Arial" w:cs="Arial"/>
          <w:i/>
        </w:rPr>
        <w:t>Fortalecer y/o desarrollar potencialidades en los diferentes escenarios de la vida cotidiana, con énfasis en familia y comunidad, que permita a los ciudadanos y las ciudadanas, prevenir y afrontar el consumo, y prevenir la vinculación a la oferta de sustancias psicoactivas.</w:t>
      </w:r>
    </w:p>
    <w:p w14:paraId="154A7F41"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i/>
        </w:rPr>
      </w:pPr>
    </w:p>
    <w:p w14:paraId="154A7F42" w14:textId="77777777" w:rsidR="00610266" w:rsidRPr="003836A1" w:rsidRDefault="00F95AB8" w:rsidP="003836A1">
      <w:pPr>
        <w:widowControl/>
        <w:pBdr>
          <w:top w:val="nil"/>
          <w:left w:val="nil"/>
          <w:bottom w:val="nil"/>
          <w:right w:val="nil"/>
          <w:between w:val="nil"/>
        </w:pBdr>
        <w:shd w:val="clear" w:color="auto" w:fill="FFFFFF"/>
        <w:ind w:left="426" w:firstLine="283"/>
        <w:jc w:val="both"/>
        <w:rPr>
          <w:rFonts w:ascii="Arial" w:eastAsia="Arial" w:hAnsi="Arial" w:cs="Arial"/>
        </w:rPr>
      </w:pPr>
      <w:r w:rsidRPr="003836A1">
        <w:rPr>
          <w:rFonts w:ascii="Arial" w:eastAsia="Arial" w:hAnsi="Arial" w:cs="Arial"/>
        </w:rPr>
        <w:t>(…)</w:t>
      </w:r>
    </w:p>
    <w:p w14:paraId="154A7F43" w14:textId="77777777" w:rsidR="00610266" w:rsidRPr="003836A1" w:rsidRDefault="00610266" w:rsidP="003836A1">
      <w:pPr>
        <w:widowControl/>
        <w:pBdr>
          <w:top w:val="nil"/>
          <w:left w:val="nil"/>
          <w:bottom w:val="nil"/>
          <w:right w:val="nil"/>
          <w:between w:val="nil"/>
        </w:pBdr>
        <w:shd w:val="clear" w:color="auto" w:fill="FFFFFF"/>
        <w:ind w:left="426" w:firstLine="283"/>
        <w:jc w:val="both"/>
        <w:rPr>
          <w:rFonts w:ascii="Arial" w:eastAsia="Arial" w:hAnsi="Arial" w:cs="Arial"/>
        </w:rPr>
      </w:pPr>
    </w:p>
    <w:p w14:paraId="154A7F44" w14:textId="77777777" w:rsidR="00610266" w:rsidRPr="003836A1" w:rsidRDefault="00F95AB8" w:rsidP="003836A1">
      <w:pPr>
        <w:widowControl/>
        <w:pBdr>
          <w:top w:val="nil"/>
          <w:left w:val="nil"/>
          <w:bottom w:val="nil"/>
          <w:right w:val="nil"/>
          <w:between w:val="nil"/>
        </w:pBdr>
        <w:shd w:val="clear" w:color="auto" w:fill="FFFFFF"/>
        <w:ind w:left="426" w:firstLine="283"/>
        <w:jc w:val="both"/>
        <w:rPr>
          <w:rFonts w:ascii="Arial" w:eastAsia="Arial" w:hAnsi="Arial" w:cs="Arial"/>
          <w:i/>
        </w:rPr>
      </w:pPr>
      <w:r w:rsidRPr="003836A1">
        <w:rPr>
          <w:rFonts w:ascii="Arial" w:eastAsia="Arial" w:hAnsi="Arial" w:cs="Arial"/>
          <w:b/>
          <w:i/>
        </w:rPr>
        <w:t>Artículo 8º. Eje estructural. </w:t>
      </w:r>
      <w:r w:rsidRPr="003836A1">
        <w:rPr>
          <w:rFonts w:ascii="Arial" w:eastAsia="Arial" w:hAnsi="Arial" w:cs="Arial"/>
          <w:i/>
        </w:rPr>
        <w:t>Movilización de redes sociales.</w:t>
      </w:r>
    </w:p>
    <w:p w14:paraId="154A7F45" w14:textId="77777777" w:rsidR="00610266" w:rsidRPr="003836A1" w:rsidRDefault="00610266" w:rsidP="003836A1">
      <w:pPr>
        <w:widowControl/>
        <w:pBdr>
          <w:top w:val="nil"/>
          <w:left w:val="nil"/>
          <w:bottom w:val="nil"/>
          <w:right w:val="nil"/>
          <w:between w:val="nil"/>
        </w:pBdr>
        <w:shd w:val="clear" w:color="auto" w:fill="FFFFFF"/>
        <w:ind w:left="426" w:firstLine="283"/>
        <w:jc w:val="both"/>
        <w:rPr>
          <w:rFonts w:ascii="Arial" w:eastAsia="Arial" w:hAnsi="Arial" w:cs="Arial"/>
          <w:i/>
        </w:rPr>
      </w:pPr>
    </w:p>
    <w:p w14:paraId="154A7F46"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b/>
          <w:i/>
        </w:rPr>
        <w:t>Objetivo. </w:t>
      </w:r>
      <w:r w:rsidRPr="003836A1">
        <w:rPr>
          <w:rFonts w:ascii="Arial" w:eastAsia="Arial" w:hAnsi="Arial" w:cs="Arial"/>
          <w:i/>
        </w:rPr>
        <w:t>Movilización de redes comunitarias e institucionales que promuevan la prevención del consumo de sustancias psicoactivas y la reducción de los riesgos y daños asociados.</w:t>
      </w:r>
    </w:p>
    <w:p w14:paraId="154A7F47"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i/>
        </w:rPr>
      </w:pPr>
    </w:p>
    <w:p w14:paraId="154A7F48" w14:textId="77777777" w:rsidR="00610266" w:rsidRPr="003836A1" w:rsidRDefault="00F95AB8" w:rsidP="003836A1">
      <w:pPr>
        <w:widowControl/>
        <w:pBdr>
          <w:top w:val="nil"/>
          <w:left w:val="nil"/>
          <w:bottom w:val="nil"/>
          <w:right w:val="nil"/>
          <w:between w:val="nil"/>
        </w:pBdr>
        <w:shd w:val="clear" w:color="auto" w:fill="FFFFFF"/>
        <w:ind w:left="426" w:firstLine="283"/>
        <w:jc w:val="both"/>
        <w:rPr>
          <w:rFonts w:ascii="Arial" w:eastAsia="Arial" w:hAnsi="Arial" w:cs="Arial"/>
          <w:highlight w:val="white"/>
        </w:rPr>
      </w:pPr>
      <w:r w:rsidRPr="003836A1">
        <w:rPr>
          <w:rFonts w:ascii="Arial" w:eastAsia="Arial" w:hAnsi="Arial" w:cs="Arial"/>
          <w:highlight w:val="white"/>
        </w:rPr>
        <w:t>(…)</w:t>
      </w:r>
    </w:p>
    <w:p w14:paraId="154A7F49" w14:textId="77777777" w:rsidR="00610266" w:rsidRPr="003836A1" w:rsidRDefault="00610266" w:rsidP="003836A1">
      <w:pPr>
        <w:widowControl/>
        <w:pBdr>
          <w:top w:val="nil"/>
          <w:left w:val="nil"/>
          <w:bottom w:val="nil"/>
          <w:right w:val="nil"/>
          <w:between w:val="nil"/>
        </w:pBdr>
        <w:shd w:val="clear" w:color="auto" w:fill="FFFFFF"/>
        <w:ind w:left="426" w:firstLine="283"/>
        <w:jc w:val="both"/>
        <w:rPr>
          <w:rFonts w:ascii="Arial" w:eastAsia="Arial" w:hAnsi="Arial" w:cs="Arial"/>
          <w:i/>
          <w:highlight w:val="white"/>
        </w:rPr>
      </w:pPr>
    </w:p>
    <w:p w14:paraId="154A7F4A" w14:textId="77777777" w:rsidR="00610266" w:rsidRPr="003836A1" w:rsidRDefault="00F95AB8" w:rsidP="003836A1">
      <w:pPr>
        <w:pStyle w:val="Ttulo2"/>
        <w:numPr>
          <w:ilvl w:val="0"/>
          <w:numId w:val="1"/>
        </w:numPr>
        <w:ind w:left="142" w:firstLine="0"/>
        <w:jc w:val="both"/>
        <w:rPr>
          <w:i/>
        </w:rPr>
      </w:pPr>
      <w:r w:rsidRPr="003836A1">
        <w:rPr>
          <w:i/>
        </w:rPr>
        <w:t xml:space="preserve">Decreto 210 de 2018 “Por medio del cual se actualiza el Consejo Distrital de Estupefacientes, Seccional Bogotá D.C. y se dictan otras disposiciones” </w:t>
      </w:r>
    </w:p>
    <w:p w14:paraId="154A7F4B" w14:textId="77777777" w:rsidR="00610266" w:rsidRPr="003836A1" w:rsidRDefault="00610266" w:rsidP="003836A1">
      <w:pPr>
        <w:pStyle w:val="Ttulo2"/>
        <w:ind w:firstLine="119"/>
        <w:jc w:val="both"/>
        <w:rPr>
          <w:i/>
        </w:rPr>
      </w:pPr>
    </w:p>
    <w:p w14:paraId="154A7F4C" w14:textId="77777777" w:rsidR="00610266" w:rsidRPr="003836A1" w:rsidRDefault="00610266" w:rsidP="003836A1">
      <w:pPr>
        <w:pStyle w:val="Ttulo2"/>
        <w:ind w:firstLine="119"/>
        <w:jc w:val="both"/>
        <w:rPr>
          <w:i/>
        </w:rPr>
      </w:pPr>
    </w:p>
    <w:p w14:paraId="154A7F4D"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b/>
          <w:i/>
        </w:rPr>
        <w:t>Artículo</w:t>
      </w:r>
      <w:r w:rsidRPr="003836A1">
        <w:rPr>
          <w:rFonts w:ascii="Arial" w:eastAsia="Arial" w:hAnsi="Arial" w:cs="Arial"/>
          <w:i/>
        </w:rPr>
        <w:t> </w:t>
      </w:r>
      <w:r w:rsidRPr="003836A1">
        <w:rPr>
          <w:rFonts w:ascii="Arial" w:eastAsia="Arial" w:hAnsi="Arial" w:cs="Arial"/>
          <w:b/>
          <w:i/>
        </w:rPr>
        <w:t>1°. Actualizar</w:t>
      </w:r>
      <w:r w:rsidRPr="003836A1">
        <w:rPr>
          <w:rFonts w:ascii="Arial" w:eastAsia="Arial" w:hAnsi="Arial" w:cs="Arial"/>
          <w:i/>
        </w:rPr>
        <w:t> la Conformación del Consejo Distrital de Estupefacientes, Seccional Bogotá, D.C. el cual quedará de la siguiente manera:</w:t>
      </w:r>
    </w:p>
    <w:p w14:paraId="154A7F4E"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 </w:t>
      </w:r>
    </w:p>
    <w:p w14:paraId="154A7F4F"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 xml:space="preserve">1. El Alcalde Mayor de Bogotá, D.C. o su delegado, quien lo presidirá.  </w:t>
      </w:r>
    </w:p>
    <w:p w14:paraId="154A7F50"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2. El Secretario Distrital de Salud o su delegado.</w:t>
      </w:r>
    </w:p>
    <w:p w14:paraId="154A7F51"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3. El Secretario de Distrital de Seguridad, Convivencia y Justicia o su delegado.</w:t>
      </w:r>
    </w:p>
    <w:p w14:paraId="154A7F52"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4. El Secretario Distrital de Educación o su delegado.</w:t>
      </w:r>
    </w:p>
    <w:p w14:paraId="154A7F53"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5. El Secretario Distrital de Integración Social o su delegado.</w:t>
      </w:r>
    </w:p>
    <w:p w14:paraId="154A7F54"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6. El Secretario Distrital de Gobierno o su delegado.</w:t>
      </w:r>
    </w:p>
    <w:p w14:paraId="154A7F55"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7. El Secretario Distrital de Ambiente o su delegado.</w:t>
      </w:r>
    </w:p>
    <w:p w14:paraId="154A7F56"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8. El Secretario de Cultura, Recreación y Deporte o su delegado</w:t>
      </w:r>
    </w:p>
    <w:p w14:paraId="154A7F57"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9. El Director General del Instituto Distrital de la Participación y Acción Comunal o su delegado.</w:t>
      </w:r>
    </w:p>
    <w:p w14:paraId="154A7F58"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10. Los Procuradores Distritales de Bogotá o sus delegados.</w:t>
      </w:r>
    </w:p>
    <w:p w14:paraId="154A7F59"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11. El Director Regional del Instituto Colombiano de Bienestar Familiar o su delegado</w:t>
      </w:r>
    </w:p>
    <w:p w14:paraId="154A7F5A"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12. El Comandante Metropolitano de la Policía de Bogotá, D.C, o su delegado.</w:t>
      </w:r>
    </w:p>
    <w:p w14:paraId="154A7F5B"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13. El Director del Instituto Nacional de Medicina Legal y Ciencias Forenses, Regional Bogotá, D.C. o su delegado.</w:t>
      </w:r>
    </w:p>
    <w:p w14:paraId="154A7F5C"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14. El (los) Comandante (s) de la Brigada del Ejército con presencia en el Distrito o su delegado.</w:t>
      </w:r>
    </w:p>
    <w:p w14:paraId="154A7F5D"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 </w:t>
      </w:r>
    </w:p>
    <w:p w14:paraId="154A7F5E"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15. El Director Seccional de Fiscalías o su delegado</w:t>
      </w:r>
    </w:p>
    <w:p w14:paraId="154A7F5F"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16. Subdirector del Cuerpo Técnico de Investigación, o quien haga sus veces, o su delegado</w:t>
      </w:r>
    </w:p>
    <w:p w14:paraId="154A7F60"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17. Director Regional de la Corporación Autónoma Regional de Cundinamarca o su delegado</w:t>
      </w:r>
    </w:p>
    <w:p w14:paraId="154A7F61"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18. El Director Seccional de Migración Colombia o su delegado.</w:t>
      </w:r>
    </w:p>
    <w:p w14:paraId="154A7F62"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19. El Director Seccional de la Dirección de Impuestos y Aduanas Nacionales o su delegado.</w:t>
      </w:r>
    </w:p>
    <w:p w14:paraId="154A7F63"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20. El Director Regional del Servicio Nacional de Aprendizaje o su delegado.</w:t>
      </w:r>
    </w:p>
    <w:p w14:paraId="154A7F64"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21. Un Representante de la Unidad Administrativa Especial de Parques Nacionales Naturales de Colombia o su delegado.</w:t>
      </w:r>
    </w:p>
    <w:p w14:paraId="154A7F65"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b/>
          <w:i/>
        </w:rPr>
        <w:t> </w:t>
      </w:r>
    </w:p>
    <w:p w14:paraId="154A7F66"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b/>
          <w:i/>
        </w:rPr>
        <w:t>Parágrafo 1. Invitados Permanentes: </w:t>
      </w:r>
      <w:r w:rsidRPr="003836A1">
        <w:rPr>
          <w:rFonts w:ascii="Arial" w:eastAsia="Arial" w:hAnsi="Arial" w:cs="Arial"/>
          <w:i/>
        </w:rPr>
        <w:t>Serán invitados permanentes con voz pero sin voto a las sesiones del Consejo Distrital de Estupefacientes, Seccional Bogotá, D.C. los Secretarios Distritales de Hacienda, Desarrollo Económico y Planeación y, los Directores de los Institutos Distritales de Recreación y Deporte - IDRD y Artes IDARTES o sus respectivos delegados, sin perjuicio de lo dispuesto en el artículo </w:t>
      </w:r>
      <w:hyperlink r:id="rId64" w:anchor="17">
        <w:r w:rsidRPr="003836A1">
          <w:rPr>
            <w:rFonts w:ascii="Arial" w:eastAsia="Arial" w:hAnsi="Arial" w:cs="Arial"/>
            <w:i/>
          </w:rPr>
          <w:t>17</w:t>
        </w:r>
      </w:hyperlink>
      <w:r w:rsidRPr="003836A1">
        <w:rPr>
          <w:rFonts w:ascii="Arial" w:eastAsia="Arial" w:hAnsi="Arial" w:cs="Arial"/>
          <w:i/>
        </w:rPr>
        <w:t> del Decreto Distrital 691 de 2011, para las Secretarías que son miembros de este Consejo.</w:t>
      </w:r>
    </w:p>
    <w:p w14:paraId="154A7F67"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b/>
          <w:i/>
        </w:rPr>
        <w:t> </w:t>
      </w:r>
    </w:p>
    <w:p w14:paraId="154A7F68"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b/>
          <w:i/>
        </w:rPr>
        <w:t>Parágrafo 2. Invitados ocasionales:</w:t>
      </w:r>
      <w:r w:rsidRPr="003836A1">
        <w:rPr>
          <w:rFonts w:ascii="Arial" w:eastAsia="Arial" w:hAnsi="Arial" w:cs="Arial"/>
          <w:i/>
        </w:rPr>
        <w:t> Podrán asistir como invitados con voz pero sin voto a las sesiones del Consejo Distrital de Estupefacientes, Seccional Bogotá, D.C, los demás secretarios de despacho del Distrito. Así mismo, quien ejerza la Secretaría Técnica del Consejo Distrital de Estupefacientes, Seccional Bogotá, D.C, podrá invitar a quien considere necesario, de acuerdo con el conocimiento de utilidad y especializado sobre los temas por tratar en cada sesión.</w:t>
      </w:r>
    </w:p>
    <w:p w14:paraId="154A7F69"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b/>
          <w:i/>
        </w:rPr>
        <w:t> </w:t>
      </w:r>
    </w:p>
    <w:p w14:paraId="154A7F6A"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b/>
          <w:i/>
        </w:rPr>
        <w:t>Parágrafo 3. Delegabilidad.</w:t>
      </w:r>
      <w:r w:rsidRPr="003836A1">
        <w:rPr>
          <w:rFonts w:ascii="Arial" w:eastAsia="Arial" w:hAnsi="Arial" w:cs="Arial"/>
          <w:i/>
        </w:rPr>
        <w:t> La asistencia de los miembros del Consejo Distrital de Estupefacientes, Seccional Bogotá, D.C, a las sesiones que se convoquen, podrá delegarse, de conformidad con lo establecido en el artículo </w:t>
      </w:r>
      <w:hyperlink r:id="rId65" w:anchor="9">
        <w:r w:rsidRPr="003836A1">
          <w:rPr>
            <w:rFonts w:ascii="Arial" w:eastAsia="Arial" w:hAnsi="Arial" w:cs="Arial"/>
            <w:i/>
          </w:rPr>
          <w:t>9</w:t>
        </w:r>
      </w:hyperlink>
      <w:r w:rsidRPr="003836A1">
        <w:rPr>
          <w:rFonts w:ascii="Arial" w:eastAsia="Arial" w:hAnsi="Arial" w:cs="Arial"/>
          <w:i/>
        </w:rPr>
        <w:t> de la Ley 489 de 1998, para lo cual deberá presentarse escrito dirigido a la Secretaría Técnica del Consejo Distrital de Estupefacientes, Seccional Bogotá, D.C.</w:t>
      </w:r>
    </w:p>
    <w:p w14:paraId="154A7F6B"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 </w:t>
      </w:r>
    </w:p>
    <w:p w14:paraId="154A7F6C"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La asistencia a las sesiones cuya finalidad sea o estén relacionadas con la aprobación de presupuesto no serán delegables.</w:t>
      </w:r>
    </w:p>
    <w:p w14:paraId="154A7F6D" w14:textId="77777777" w:rsidR="00610266" w:rsidRPr="003836A1" w:rsidRDefault="00610266" w:rsidP="003836A1">
      <w:pPr>
        <w:pStyle w:val="Ttulo2"/>
        <w:ind w:left="0"/>
        <w:rPr>
          <w:b w:val="0"/>
        </w:rPr>
      </w:pPr>
    </w:p>
    <w:p w14:paraId="154A7F6E" w14:textId="77777777" w:rsidR="00610266" w:rsidRPr="003836A1" w:rsidRDefault="00F95AB8" w:rsidP="003836A1">
      <w:pPr>
        <w:pStyle w:val="Ttulo2"/>
        <w:numPr>
          <w:ilvl w:val="0"/>
          <w:numId w:val="1"/>
        </w:numPr>
        <w:ind w:left="142" w:firstLine="0"/>
        <w:jc w:val="both"/>
        <w:rPr>
          <w:i/>
        </w:rPr>
      </w:pPr>
      <w:r w:rsidRPr="003836A1">
        <w:rPr>
          <w:i/>
        </w:rPr>
        <w:t>Decreto 371 de 2018 “P</w:t>
      </w:r>
      <w:r w:rsidRPr="003836A1">
        <w:rPr>
          <w:i/>
          <w:highlight w:val="white"/>
        </w:rPr>
        <w:t>or medio del cual se reglamenta el artículo </w:t>
      </w:r>
      <w:hyperlink r:id="rId66" w:anchor="17">
        <w:r w:rsidRPr="003836A1">
          <w:rPr>
            <w:i/>
          </w:rPr>
          <w:t>17</w:t>
        </w:r>
      </w:hyperlink>
      <w:r w:rsidRPr="003836A1">
        <w:rPr>
          <w:i/>
          <w:highlight w:val="white"/>
        </w:rPr>
        <w:t> del Acuerdo Distrital  637 de 2016, que creó la Comisión Intersectorial de Acción Integral en Seguridad, Convivencia y Acceso a la Justicia, y se modifica el Decreto Distrital  </w:t>
      </w:r>
      <w:hyperlink r:id="rId67">
        <w:r w:rsidRPr="003836A1">
          <w:rPr>
            <w:i/>
          </w:rPr>
          <w:t>546</w:t>
        </w:r>
      </w:hyperlink>
      <w:r w:rsidRPr="003836A1">
        <w:rPr>
          <w:i/>
          <w:highlight w:val="white"/>
        </w:rPr>
        <w:t xml:space="preserve"> de 2007” </w:t>
      </w:r>
    </w:p>
    <w:p w14:paraId="154A7F6F" w14:textId="77777777" w:rsidR="00610266" w:rsidRPr="003836A1" w:rsidRDefault="00610266" w:rsidP="003836A1">
      <w:pPr>
        <w:pStyle w:val="Ttulo2"/>
        <w:ind w:firstLine="119"/>
        <w:jc w:val="both"/>
      </w:pPr>
    </w:p>
    <w:p w14:paraId="154A7F70" w14:textId="77777777" w:rsidR="00610266" w:rsidRPr="003836A1" w:rsidRDefault="00F95AB8" w:rsidP="003836A1">
      <w:pPr>
        <w:pStyle w:val="Ttulo2"/>
        <w:ind w:left="426"/>
        <w:jc w:val="both"/>
        <w:rPr>
          <w:b w:val="0"/>
          <w:i/>
        </w:rPr>
      </w:pPr>
      <w:r w:rsidRPr="003836A1">
        <w:rPr>
          <w:i/>
        </w:rPr>
        <w:t>Artículo</w:t>
      </w:r>
      <w:r w:rsidRPr="003836A1">
        <w:rPr>
          <w:i/>
          <w:highlight w:val="white"/>
        </w:rPr>
        <w:t> </w:t>
      </w:r>
      <w:r w:rsidRPr="003836A1">
        <w:rPr>
          <w:i/>
        </w:rPr>
        <w:t>3. Objeto.</w:t>
      </w:r>
      <w:r w:rsidRPr="003836A1">
        <w:rPr>
          <w:b w:val="0"/>
          <w:i/>
        </w:rPr>
        <w:t> La Comisión Intersectorial</w:t>
      </w:r>
      <w:r w:rsidRPr="003836A1">
        <w:rPr>
          <w:b w:val="0"/>
          <w:i/>
          <w:highlight w:val="white"/>
        </w:rPr>
        <w:t> de Acción Integral en Seguridad, Convivencia y Acceso a la Justicia, </w:t>
      </w:r>
      <w:r w:rsidRPr="003836A1">
        <w:rPr>
          <w:b w:val="0"/>
          <w:i/>
        </w:rPr>
        <w:t>tiene por objeto garantizar la coordinación intersectorial para la implementación de las políticas y estrategias distritales de carácter intersectorial en materia de Seguridad, Convivencia y Acceso a la Justicia.</w:t>
      </w:r>
    </w:p>
    <w:p w14:paraId="154A7F71" w14:textId="77777777" w:rsidR="00610266" w:rsidRPr="003836A1" w:rsidRDefault="00610266" w:rsidP="003836A1">
      <w:pPr>
        <w:pStyle w:val="Ttulo2"/>
        <w:ind w:left="426"/>
        <w:jc w:val="both"/>
        <w:rPr>
          <w:i/>
        </w:rPr>
      </w:pPr>
    </w:p>
    <w:p w14:paraId="154A7F72"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b/>
          <w:i/>
        </w:rPr>
        <w:t>Artículo</w:t>
      </w:r>
      <w:r w:rsidRPr="003836A1">
        <w:rPr>
          <w:rFonts w:ascii="Arial" w:eastAsia="Arial" w:hAnsi="Arial" w:cs="Arial"/>
          <w:i/>
        </w:rPr>
        <w:t> </w:t>
      </w:r>
      <w:r w:rsidRPr="003836A1">
        <w:rPr>
          <w:rFonts w:ascii="Arial" w:eastAsia="Arial" w:hAnsi="Arial" w:cs="Arial"/>
          <w:b/>
          <w:i/>
        </w:rPr>
        <w:t>4. Integración. </w:t>
      </w:r>
      <w:r w:rsidRPr="003836A1">
        <w:rPr>
          <w:rFonts w:ascii="Arial" w:eastAsia="Arial" w:hAnsi="Arial" w:cs="Arial"/>
          <w:i/>
        </w:rPr>
        <w:t>Serán integrantes permanentes de la Comisión Intersectorial </w:t>
      </w:r>
      <w:r w:rsidRPr="003836A1">
        <w:rPr>
          <w:rFonts w:ascii="Arial" w:eastAsia="Arial" w:hAnsi="Arial" w:cs="Arial"/>
          <w:i/>
          <w:highlight w:val="white"/>
        </w:rPr>
        <w:t>de Acción Integral en Seguridad, Convivencia y Acceso a la Justicia</w:t>
      </w:r>
      <w:r w:rsidRPr="003836A1">
        <w:rPr>
          <w:rFonts w:ascii="Arial" w:eastAsia="Arial" w:hAnsi="Arial" w:cs="Arial"/>
          <w:i/>
        </w:rPr>
        <w:t>, los siguientes funcionarios y entidades:</w:t>
      </w:r>
    </w:p>
    <w:p w14:paraId="154A7F73"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highlight w:val="white"/>
        </w:rPr>
        <w:t> </w:t>
      </w:r>
    </w:p>
    <w:p w14:paraId="154A7F74"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1. </w:t>
      </w:r>
      <w:r w:rsidRPr="003836A1">
        <w:rPr>
          <w:rFonts w:ascii="Arial" w:eastAsia="Arial" w:hAnsi="Arial" w:cs="Arial"/>
          <w:i/>
          <w:highlight w:val="white"/>
        </w:rPr>
        <w:t>El Secretario Distrital de Seguridad, Convivencia y Justicia quien la presidirá.</w:t>
      </w:r>
    </w:p>
    <w:p w14:paraId="154A7F75"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2. </w:t>
      </w:r>
      <w:r w:rsidRPr="003836A1">
        <w:rPr>
          <w:rFonts w:ascii="Arial" w:eastAsia="Arial" w:hAnsi="Arial" w:cs="Arial"/>
          <w:i/>
          <w:highlight w:val="white"/>
        </w:rPr>
        <w:t>El Secretario Distrital de Gobierno.</w:t>
      </w:r>
    </w:p>
    <w:p w14:paraId="154A7F76"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3. </w:t>
      </w:r>
      <w:r w:rsidRPr="003836A1">
        <w:rPr>
          <w:rFonts w:ascii="Arial" w:eastAsia="Arial" w:hAnsi="Arial" w:cs="Arial"/>
          <w:i/>
          <w:highlight w:val="white"/>
        </w:rPr>
        <w:t>El Secretario Distrital de Salud.</w:t>
      </w:r>
    </w:p>
    <w:p w14:paraId="154A7F77"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4. </w:t>
      </w:r>
      <w:r w:rsidRPr="003836A1">
        <w:rPr>
          <w:rFonts w:ascii="Arial" w:eastAsia="Arial" w:hAnsi="Arial" w:cs="Arial"/>
          <w:i/>
          <w:highlight w:val="white"/>
        </w:rPr>
        <w:t>El Secretario Distrital de Integración Social.</w:t>
      </w:r>
    </w:p>
    <w:p w14:paraId="154A7F78"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5. </w:t>
      </w:r>
      <w:r w:rsidRPr="003836A1">
        <w:rPr>
          <w:rFonts w:ascii="Arial" w:eastAsia="Arial" w:hAnsi="Arial" w:cs="Arial"/>
          <w:i/>
          <w:highlight w:val="white"/>
        </w:rPr>
        <w:t>El Secretario Distrital de Hábitat.</w:t>
      </w:r>
    </w:p>
    <w:p w14:paraId="154A7F79"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6. </w:t>
      </w:r>
      <w:r w:rsidRPr="003836A1">
        <w:rPr>
          <w:rFonts w:ascii="Arial" w:eastAsia="Arial" w:hAnsi="Arial" w:cs="Arial"/>
          <w:i/>
          <w:highlight w:val="white"/>
        </w:rPr>
        <w:t>El Secretario Distrital de Educación.</w:t>
      </w:r>
    </w:p>
    <w:p w14:paraId="154A7F7A"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7. </w:t>
      </w:r>
      <w:r w:rsidRPr="003836A1">
        <w:rPr>
          <w:rFonts w:ascii="Arial" w:eastAsia="Arial" w:hAnsi="Arial" w:cs="Arial"/>
          <w:i/>
          <w:highlight w:val="white"/>
        </w:rPr>
        <w:t>La Secretaria Distrital de la Mujer.</w:t>
      </w:r>
    </w:p>
    <w:p w14:paraId="154A7F7B" w14:textId="77777777" w:rsidR="00610266" w:rsidRPr="003836A1" w:rsidRDefault="00610266" w:rsidP="003836A1">
      <w:pPr>
        <w:pStyle w:val="Ttulo2"/>
        <w:ind w:left="426"/>
        <w:jc w:val="both"/>
        <w:rPr>
          <w:i/>
        </w:rPr>
      </w:pPr>
    </w:p>
    <w:p w14:paraId="154A7F7C"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b/>
          <w:i/>
        </w:rPr>
        <w:t>Artículo</w:t>
      </w:r>
      <w:r w:rsidRPr="003836A1">
        <w:rPr>
          <w:rFonts w:ascii="Arial" w:eastAsia="Arial" w:hAnsi="Arial" w:cs="Arial"/>
          <w:i/>
        </w:rPr>
        <w:t> </w:t>
      </w:r>
      <w:r w:rsidRPr="003836A1">
        <w:rPr>
          <w:rFonts w:ascii="Arial" w:eastAsia="Arial" w:hAnsi="Arial" w:cs="Arial"/>
          <w:b/>
          <w:i/>
        </w:rPr>
        <w:t>5. Funciones. </w:t>
      </w:r>
      <w:r w:rsidRPr="003836A1">
        <w:rPr>
          <w:rFonts w:ascii="Arial" w:eastAsia="Arial" w:hAnsi="Arial" w:cs="Arial"/>
          <w:i/>
        </w:rPr>
        <w:t>La Comisión Intersectorial de Acción Integral en Seguridad, Convivencia y Acceso a la Justicia tendrá las siguientes funciones:</w:t>
      </w:r>
    </w:p>
    <w:p w14:paraId="154A7F7D"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 </w:t>
      </w:r>
    </w:p>
    <w:p w14:paraId="154A7F7E"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1. Articular las acciones de fortalecimiento de la Seguridad, la Convivencia y el Acceso a la Justica en el Distrito Capital, en desarrollo de los Planes Distritales y Locales de seguridad, los pactos de convivencia y los planes específicos acordados con la comunidad.</w:t>
      </w:r>
    </w:p>
    <w:p w14:paraId="154A7F7F"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 </w:t>
      </w:r>
    </w:p>
    <w:p w14:paraId="154A7F80"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2. Coordinar líneas de intervención interinstitucional en eventos que alteren la seguridad, la normal convivencia de la ciudad, tales como tomas, bloqueos y situaciones de carácter antrópico, entre otras y, el acceso a la justicia en el Distrito Capital.</w:t>
      </w:r>
    </w:p>
    <w:p w14:paraId="154A7F81" w14:textId="77777777" w:rsidR="00610266" w:rsidRPr="003836A1" w:rsidRDefault="00610266" w:rsidP="003836A1">
      <w:pPr>
        <w:widowControl/>
        <w:shd w:val="clear" w:color="auto" w:fill="FFFFFF"/>
        <w:ind w:left="426"/>
        <w:jc w:val="both"/>
        <w:rPr>
          <w:rFonts w:ascii="Arial" w:eastAsia="Arial" w:hAnsi="Arial" w:cs="Arial"/>
          <w:i/>
        </w:rPr>
      </w:pPr>
    </w:p>
    <w:p w14:paraId="154A7F82"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3. Coordinar las acciones y mecanismos de solución pacífica de conflictos orientados a prevenir, contrarrestar y neutralizar los desórdenes y conflictos sociales, evitando la utilización de la fuerza y las vías de hecho.</w:t>
      </w:r>
    </w:p>
    <w:p w14:paraId="154A7F83"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 </w:t>
      </w:r>
    </w:p>
    <w:p w14:paraId="154A7F84"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4. Coordinar la movilización de recursos humanos, logísticos y económicos del Distrito Capital para atender las necesidades básicas de la población involucrada en las situaciones de crisis que afectan la seguridad, convivencia y el acceso a la justicia.</w:t>
      </w:r>
    </w:p>
    <w:p w14:paraId="154A7F85" w14:textId="77777777" w:rsidR="00610266" w:rsidRPr="003836A1" w:rsidRDefault="00610266" w:rsidP="003836A1">
      <w:pPr>
        <w:pStyle w:val="Ttulo2"/>
        <w:tabs>
          <w:tab w:val="left" w:pos="830"/>
          <w:tab w:val="left" w:pos="831"/>
        </w:tabs>
        <w:ind w:left="0"/>
      </w:pPr>
    </w:p>
    <w:p w14:paraId="154A7F86" w14:textId="77777777" w:rsidR="00610266" w:rsidRPr="003836A1" w:rsidRDefault="00F95AB8" w:rsidP="003836A1">
      <w:pPr>
        <w:pStyle w:val="Ttulo2"/>
        <w:numPr>
          <w:ilvl w:val="0"/>
          <w:numId w:val="1"/>
        </w:numPr>
        <w:ind w:left="142" w:firstLine="0"/>
        <w:rPr>
          <w:i/>
        </w:rPr>
      </w:pPr>
      <w:r w:rsidRPr="003836A1">
        <w:rPr>
          <w:i/>
        </w:rPr>
        <w:t xml:space="preserve">Decreto 510 de 2019 “Por el cual se reglamenta el </w:t>
      </w:r>
      <w:r w:rsidRPr="003836A1">
        <w:rPr>
          <w:i/>
          <w:highlight w:val="white"/>
        </w:rPr>
        <w:t xml:space="preserve">Sistema Centro de Comando, Control, Comunicaciones y Computo – C4 y se dictan otras disposiciones” </w:t>
      </w:r>
    </w:p>
    <w:p w14:paraId="154A7F87" w14:textId="77777777" w:rsidR="00610266" w:rsidRPr="003836A1" w:rsidRDefault="00610266" w:rsidP="003836A1">
      <w:pPr>
        <w:pStyle w:val="Ttulo2"/>
        <w:ind w:firstLine="119"/>
        <w:rPr>
          <w:i/>
        </w:rPr>
      </w:pPr>
    </w:p>
    <w:p w14:paraId="154A7F88"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b/>
          <w:i/>
        </w:rPr>
        <w:t>Artículo 1º.- Definición del Sistema Centro de Comando, Control, Comunicaciones y Cómputo, C4. </w:t>
      </w:r>
      <w:r w:rsidRPr="003836A1">
        <w:rPr>
          <w:rFonts w:ascii="Arial" w:eastAsia="Arial" w:hAnsi="Arial" w:cs="Arial"/>
          <w:i/>
        </w:rPr>
        <w:t>El Centro de Comando, Control, Comunicaciones y Cómputo es el sistema que articula las herramientas tecnológicas, operacionales y humanas dispuestas por el Distrito Capital con el propósito de dar una respuesta coordinada, eficiente y oportuna a los eventos de seguridad y emergencia que ocurren en Bogotá, D.C., a la vez, que genera información centralizada y confiable para la toma de decisiones y aporta conocimiento para la prevención y anticipación de dichos eventos.</w:t>
      </w:r>
    </w:p>
    <w:p w14:paraId="154A7F89"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 </w:t>
      </w:r>
    </w:p>
    <w:p w14:paraId="154A7F8A"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El servicio que presta el C4 tiene carácter ininterrumpido, continuo y permanente, y dada su especial importancia para el apoyo en la protección de la vida humana, de la defensa, la seguridad y la justicia, se desarrollará dentro de esquemas de misión e infraestructura crítica que generen los máximos niveles de disponibilidad y protección física, sísmica y tecnológica.</w:t>
      </w:r>
    </w:p>
    <w:p w14:paraId="154A7F8B" w14:textId="77777777" w:rsidR="00610266" w:rsidRPr="003836A1" w:rsidRDefault="00610266" w:rsidP="003836A1">
      <w:pPr>
        <w:widowControl/>
        <w:shd w:val="clear" w:color="auto" w:fill="FFFFFF"/>
        <w:ind w:left="426"/>
        <w:jc w:val="both"/>
        <w:rPr>
          <w:rFonts w:ascii="Arial" w:eastAsia="Arial" w:hAnsi="Arial" w:cs="Arial"/>
          <w:i/>
        </w:rPr>
      </w:pPr>
    </w:p>
    <w:p w14:paraId="154A7F8C"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b/>
          <w:i/>
        </w:rPr>
        <w:t>Artículo 2º.- Objetivos del Sistema Centro de Comando, Control, Comunicaciones y Cómputo, C4. </w:t>
      </w:r>
      <w:r w:rsidRPr="003836A1">
        <w:rPr>
          <w:rFonts w:ascii="Arial" w:eastAsia="Arial" w:hAnsi="Arial" w:cs="Arial"/>
          <w:i/>
        </w:rPr>
        <w:t>Los objetivos del C4 son los siguientes:</w:t>
      </w:r>
    </w:p>
    <w:p w14:paraId="154A7F8D" w14:textId="77777777" w:rsidR="00610266" w:rsidRPr="003836A1" w:rsidRDefault="00F95AB8" w:rsidP="003836A1">
      <w:pPr>
        <w:widowControl/>
        <w:shd w:val="clear" w:color="auto" w:fill="FFFFFF"/>
        <w:ind w:left="426"/>
        <w:jc w:val="both"/>
        <w:rPr>
          <w:rFonts w:ascii="Arial" w:eastAsia="Arial" w:hAnsi="Arial" w:cs="Arial"/>
          <w:b/>
          <w:i/>
        </w:rPr>
      </w:pPr>
      <w:r w:rsidRPr="003836A1">
        <w:rPr>
          <w:rFonts w:ascii="Arial" w:eastAsia="Arial" w:hAnsi="Arial" w:cs="Arial"/>
          <w:b/>
          <w:i/>
        </w:rPr>
        <w:t> </w:t>
      </w:r>
    </w:p>
    <w:p w14:paraId="154A7F8E"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1. Integrar las entidades de seguridad y emergencias que hacen parte del C4 y aquellas entidades públicas y privadas relacionadas que se puedan incorporar para dar respuesta oportuna y efectiva a los incidentes reportados de seguridad y emergencias, actuar en la prevención de consecuencias mayores y aportar a la mitigación de emergencias, del delito y la disminución del impacto de éstos sobre la comunidad.</w:t>
      </w:r>
    </w:p>
    <w:p w14:paraId="154A7F8F"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7F90"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2. Implementar los procedimientos, protocolos y modelos de operación e interacción que permitan actuar articuladamente para dar respuesta eficiente a los eventos de emergencias y seguridad, diseñados por la Secretaría Distrital de Seguridad, Convivencia y Justicia y aprobados por el Comité Operativo de Apoyo y Seguimiento del C4.</w:t>
      </w:r>
    </w:p>
    <w:p w14:paraId="154A7F91"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7F92"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3. Recolectar, centralizar, procesar, compartir y analizar la información proveniente de la operación, de los diferentes sensores (GPS, AVL, radios, recursos, dispositivos IoT, semáforos, etc) y de los sistemas relacionados con urgencias, emergencias y seguridad para la toma eficiente de decisiones, la asignación asertiva de recursos, la unificación de esfuerzos y la contribución al diseño de estrategias en materia de seguridad y emergencias. </w:t>
      </w:r>
    </w:p>
    <w:p w14:paraId="154A7F93"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7F94"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4. Integrar tecnologías; sistemas de comunicación, de información, de analítica y de videovigilancia; equipos de apoyo aéreo tripulado y no tripulado y demás que a futuro puedan aportar a hacer más eficiente la operación, disminuir los tiempos de atención, generar alertas y analizar datos.</w:t>
      </w:r>
    </w:p>
    <w:p w14:paraId="154A7F95"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7F96"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5. Aportar insumos o evidencias a las instituciones u organismos que lo soliciten de conformidad con lo establecido en la ley, para incrementar la efectividad de las denuncias presentadas por las personas.</w:t>
      </w:r>
    </w:p>
    <w:p w14:paraId="154A7F97"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b/>
          <w:i/>
          <w:highlight w:val="white"/>
        </w:rPr>
        <w:t> </w:t>
      </w:r>
    </w:p>
    <w:p w14:paraId="154A7F98"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b/>
          <w:i/>
        </w:rPr>
        <w:t>Artículo</w:t>
      </w:r>
      <w:r w:rsidRPr="003836A1">
        <w:rPr>
          <w:rFonts w:ascii="Arial" w:eastAsia="Arial" w:hAnsi="Arial" w:cs="Arial"/>
          <w:i/>
        </w:rPr>
        <w:t> </w:t>
      </w:r>
      <w:r w:rsidRPr="003836A1">
        <w:rPr>
          <w:rFonts w:ascii="Arial" w:eastAsia="Arial" w:hAnsi="Arial" w:cs="Arial"/>
          <w:b/>
          <w:i/>
        </w:rPr>
        <w:t>3º.- Conformación del Sistema Centro de Comando, Control, Comunicaciones y Cómputo, C4. </w:t>
      </w:r>
      <w:r w:rsidRPr="003836A1">
        <w:rPr>
          <w:rFonts w:ascii="Arial" w:eastAsia="Arial" w:hAnsi="Arial" w:cs="Arial"/>
          <w:i/>
        </w:rPr>
        <w:t>El Sistema Centro de Comando, Control, Comunicaciones y Cómputo – C4 está conformado por los siguientes componentes:</w:t>
      </w:r>
    </w:p>
    <w:p w14:paraId="154A7F99"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 </w:t>
      </w:r>
    </w:p>
    <w:p w14:paraId="154A7F9A"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1.            Número Único de Seguridad y Emergencias (NUSE 123).</w:t>
      </w:r>
    </w:p>
    <w:p w14:paraId="154A7F9B"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2.            Sistema de videovigilancia ciudadana del Distrito Capital.</w:t>
      </w:r>
    </w:p>
    <w:p w14:paraId="154A7F9C"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3.            Sistemas de comunicación.</w:t>
      </w:r>
    </w:p>
    <w:p w14:paraId="154A7F9D"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4.            Redes de participación cívica.</w:t>
      </w:r>
    </w:p>
    <w:p w14:paraId="154A7F9E"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5.            Equipos de apoyo aéreo tripulado y no tripulado.</w:t>
      </w:r>
    </w:p>
    <w:p w14:paraId="154A7F9F"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6.            Sistemas de información y análisis de información.</w:t>
      </w:r>
    </w:p>
    <w:p w14:paraId="154A7FA0"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7.            El Centro de Operaciones de Emergencias COE.</w:t>
      </w:r>
    </w:p>
    <w:p w14:paraId="154A7FA1"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 </w:t>
      </w:r>
    </w:p>
    <w:p w14:paraId="154A7FA2"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La articulación e interacción entre estos componentes será definida en los procedimientos, protocolos y lineamientos definidos por el C4 para tal fin, en un plazo máximo de un año contado a partir de la entrada en vigencia del presente decreto.</w:t>
      </w:r>
    </w:p>
    <w:p w14:paraId="154A7FA3" w14:textId="77777777" w:rsidR="00610266" w:rsidRPr="003836A1" w:rsidRDefault="00610266" w:rsidP="003836A1">
      <w:pPr>
        <w:pStyle w:val="Ttulo2"/>
        <w:ind w:left="426"/>
        <w:rPr>
          <w:b w:val="0"/>
          <w:i/>
        </w:rPr>
      </w:pPr>
    </w:p>
    <w:p w14:paraId="154A7FA4"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b/>
          <w:i/>
          <w:highlight w:val="white"/>
        </w:rPr>
        <w:t>Artículo</w:t>
      </w:r>
      <w:r w:rsidRPr="003836A1">
        <w:rPr>
          <w:rFonts w:ascii="Arial" w:eastAsia="Arial" w:hAnsi="Arial" w:cs="Arial"/>
          <w:i/>
        </w:rPr>
        <w:t> </w:t>
      </w:r>
      <w:r w:rsidRPr="003836A1">
        <w:rPr>
          <w:rFonts w:ascii="Arial" w:eastAsia="Arial" w:hAnsi="Arial" w:cs="Arial"/>
          <w:b/>
          <w:i/>
          <w:highlight w:val="white"/>
        </w:rPr>
        <w:t>12º.- Coordinación con entidades, nuevos sistemas o plataformas</w:t>
      </w:r>
      <w:r w:rsidRPr="003836A1">
        <w:rPr>
          <w:rFonts w:ascii="Arial" w:eastAsia="Arial" w:hAnsi="Arial" w:cs="Arial"/>
          <w:i/>
          <w:highlight w:val="white"/>
        </w:rPr>
        <w:t>.</w:t>
      </w:r>
      <w:r w:rsidRPr="003836A1">
        <w:rPr>
          <w:rFonts w:ascii="Arial" w:eastAsia="Arial" w:hAnsi="Arial" w:cs="Arial"/>
          <w:i/>
        </w:rPr>
        <w:t> La coordinación con las diferentes instancias involucradas en la atención de emergencias y seguridad en la ciudad</w:t>
      </w:r>
      <w:r w:rsidRPr="003836A1">
        <w:rPr>
          <w:rFonts w:ascii="Arial" w:eastAsia="Arial" w:hAnsi="Arial" w:cs="Arial"/>
          <w:i/>
          <w:highlight w:val="white"/>
        </w:rPr>
        <w:t> se llevará a cabo a través de:</w:t>
      </w:r>
    </w:p>
    <w:p w14:paraId="154A7FA5"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highlight w:val="white"/>
        </w:rPr>
        <w:t> </w:t>
      </w:r>
    </w:p>
    <w:p w14:paraId="154A7FA6"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1. </w:t>
      </w:r>
      <w:r w:rsidRPr="003836A1">
        <w:rPr>
          <w:rFonts w:ascii="Arial" w:eastAsia="Arial" w:hAnsi="Arial" w:cs="Arial"/>
          <w:i/>
          <w:highlight w:val="white"/>
        </w:rPr>
        <w:t>Fortalecimiento y la integración tecnológica: Se propenderá por el mejoramiento continuo e integración de las plataformas tecnológicas, sistemas de comunicación, de información, de control, de analítica, de videovigilancia y los demás que generen valor a la operación del Sistema - C4.</w:t>
      </w:r>
    </w:p>
    <w:p w14:paraId="154A7FA7"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highlight w:val="white"/>
        </w:rPr>
        <w:t> </w:t>
      </w:r>
    </w:p>
    <w:p w14:paraId="154A7FA8"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2. </w:t>
      </w:r>
      <w:r w:rsidRPr="003836A1">
        <w:rPr>
          <w:rFonts w:ascii="Arial" w:eastAsia="Arial" w:hAnsi="Arial" w:cs="Arial"/>
          <w:i/>
          <w:highlight w:val="white"/>
        </w:rPr>
        <w:t>Gestión de procesos y protocolos de </w:t>
      </w:r>
      <w:r w:rsidRPr="003836A1">
        <w:rPr>
          <w:rFonts w:ascii="Arial" w:eastAsia="Arial" w:hAnsi="Arial" w:cs="Arial"/>
          <w:i/>
        </w:rPr>
        <w:t>actuación e interac</w:t>
      </w:r>
      <w:r w:rsidRPr="003836A1">
        <w:rPr>
          <w:rFonts w:ascii="Arial" w:eastAsia="Arial" w:hAnsi="Arial" w:cs="Arial"/>
          <w:i/>
          <w:highlight w:val="white"/>
        </w:rPr>
        <w:t>ción para la atención y respuesta a emergencias o eventos de seguridad: se buscará la mejora continua de los procesos y protocolos unificados para todas las entidades involucradas en áreas tales como: recepción y despacho de llamadas; gestión de incidentes; planificación y ejecución de acciones preventivas; estadísticas y datos; y servicio y retroalimentación al usuario, entre otros.</w:t>
      </w:r>
    </w:p>
    <w:p w14:paraId="154A7FA9"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7FAA"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3. </w:t>
      </w:r>
      <w:r w:rsidRPr="003836A1">
        <w:rPr>
          <w:rFonts w:ascii="Arial" w:eastAsia="Arial" w:hAnsi="Arial" w:cs="Arial"/>
          <w:i/>
          <w:highlight w:val="white"/>
        </w:rPr>
        <w:t>Entrenamiento y capacitación del personal: se generarán planes de capacitación y entrenamiento integrales y específicos, de acuerdo con las áreas de trabajo o del perfil del recurso humano que haga parte de cada componente del Sistema Centro de Comando y Control, Comunicaciones y Cómputo - C4.</w:t>
      </w:r>
    </w:p>
    <w:p w14:paraId="154A7FAB"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7FAC"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4. </w:t>
      </w:r>
      <w:r w:rsidRPr="003836A1">
        <w:rPr>
          <w:rFonts w:ascii="Arial" w:eastAsia="Arial" w:hAnsi="Arial" w:cs="Arial"/>
          <w:i/>
          <w:highlight w:val="white"/>
        </w:rPr>
        <w:t>Apoyo y cooperación interinstitucional para el cumplimiento de las diferentes funciones del C4 en el marco de la ley.</w:t>
      </w:r>
    </w:p>
    <w:p w14:paraId="154A7FAD"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7FAE"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5. </w:t>
      </w:r>
      <w:r w:rsidRPr="003836A1">
        <w:rPr>
          <w:rFonts w:ascii="Arial" w:eastAsia="Arial" w:hAnsi="Arial" w:cs="Arial"/>
          <w:i/>
          <w:highlight w:val="white"/>
        </w:rPr>
        <w:t>Aplicar los controles necesarios que permitan la protección, privacidad y seguridad de la información de las plataformas tecnológicas, sistemas de información y demás componentes que hagan parte del C4.</w:t>
      </w:r>
    </w:p>
    <w:p w14:paraId="154A7FAF"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highlight w:val="white"/>
        </w:rPr>
        <w:t> </w:t>
      </w:r>
    </w:p>
    <w:p w14:paraId="154A7FB0"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b/>
          <w:i/>
          <w:highlight w:val="white"/>
        </w:rPr>
        <w:t>Parágrafo 1:</w:t>
      </w:r>
      <w:r w:rsidRPr="003836A1">
        <w:rPr>
          <w:rFonts w:ascii="Arial" w:eastAsia="Arial" w:hAnsi="Arial" w:cs="Arial"/>
          <w:i/>
          <w:highlight w:val="white"/>
        </w:rPr>
        <w:t> La</w:t>
      </w:r>
      <w:r w:rsidRPr="003836A1">
        <w:rPr>
          <w:rFonts w:ascii="Arial" w:eastAsia="Arial" w:hAnsi="Arial" w:cs="Arial"/>
          <w:i/>
        </w:rPr>
        <w:t> Secretaría Distrital de Seguridad, Convivencia y Justicia</w:t>
      </w:r>
      <w:r w:rsidRPr="003836A1">
        <w:rPr>
          <w:rFonts w:ascii="Arial" w:eastAsia="Arial" w:hAnsi="Arial" w:cs="Arial"/>
          <w:i/>
          <w:highlight w:val="white"/>
        </w:rPr>
        <w:t>, podrá adelantar las acciones necesarias para integrar</w:t>
      </w:r>
      <w:r w:rsidRPr="003836A1">
        <w:rPr>
          <w:rFonts w:ascii="Arial" w:eastAsia="Arial" w:hAnsi="Arial" w:cs="Arial"/>
          <w:i/>
        </w:rPr>
        <w:t> otros sistemas o plataformas, que puedan aportar a potenciar capacidades del C4 o sus componentes, siempre y cuando estos cumplan con los requerimientos de funcionalidad, seguridad, interoperabilidad y generación de valor al sistema que se encuentre en operación en el C4.</w:t>
      </w:r>
    </w:p>
    <w:p w14:paraId="154A7FB1"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 </w:t>
      </w:r>
    </w:p>
    <w:p w14:paraId="154A7FB2"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b/>
          <w:i/>
        </w:rPr>
        <w:t>Parágrafo 2:</w:t>
      </w:r>
      <w:r w:rsidRPr="003836A1">
        <w:rPr>
          <w:rFonts w:ascii="Arial" w:eastAsia="Arial" w:hAnsi="Arial" w:cs="Arial"/>
          <w:i/>
        </w:rPr>
        <w:t> En el marco del cumplimiento de los objetivos del C4 podrán hacer parte, cooperar o compartir información con el C4, otras instituciones u organismos de acuerdo con los lineamientos establecidos por la Secretaría Distrital de Seguridad, Convivencia y Justicia para tal fin. Los lineamientos, procedimientos y protocolos para la operación del C4 serán de obligatoria aplicación para todas las instituciones que lo componen o integren. (…)</w:t>
      </w:r>
    </w:p>
    <w:p w14:paraId="154A7FB3" w14:textId="77777777" w:rsidR="00610266" w:rsidRPr="003836A1" w:rsidRDefault="00610266" w:rsidP="003836A1">
      <w:pPr>
        <w:pStyle w:val="Ttulo2"/>
        <w:ind w:left="0"/>
        <w:rPr>
          <w:b w:val="0"/>
          <w:i/>
        </w:rPr>
      </w:pPr>
    </w:p>
    <w:p w14:paraId="154A7FB4"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b/>
          <w:i/>
        </w:rPr>
        <w:t>Artículo 16º.-</w:t>
      </w:r>
      <w:r w:rsidRPr="003836A1">
        <w:rPr>
          <w:rFonts w:ascii="Arial" w:eastAsia="Arial" w:hAnsi="Arial" w:cs="Arial"/>
          <w:i/>
        </w:rPr>
        <w:t> </w:t>
      </w:r>
      <w:r w:rsidRPr="003836A1">
        <w:rPr>
          <w:rFonts w:ascii="Arial" w:eastAsia="Arial" w:hAnsi="Arial" w:cs="Arial"/>
          <w:b/>
          <w:i/>
        </w:rPr>
        <w:t>Sistema de Vídeovigilancia Ciudadana del Distrito Capital. </w:t>
      </w:r>
      <w:r w:rsidRPr="003836A1">
        <w:rPr>
          <w:rFonts w:ascii="Arial" w:eastAsia="Arial" w:hAnsi="Arial" w:cs="Arial"/>
          <w:i/>
        </w:rPr>
        <w:t>El sistema de videovigilancia ciudadana del Distrito Capital es el conjunto de infraestructura física y tecnológica, los protocolos y el personal necesario para capturar, transportar, almacenar, monitorear y analizar la información proveniente de las cámaras instaladas por el Distrito en toda la ciudad y aquellas de otras entidades públicas o privadas que por su potencial aporte al sistema, conforme los lineamientos aprobados por el Comité Operativo de Apoyo y Seguimiento del C4, en concordancia con lo indicando en el artículo 12 del presente decreto, los cuales estarán al servicio de la Policía Metropolitana de Bogotá – MEBOG y las demás entidades que en el marco del cumplimiento de los objetivos del C4, se considere que deben acceder, con el fin de aportar a la atención y prevención de incidentes de seguridad y emergencias en Bogotá. D. C.</w:t>
      </w:r>
    </w:p>
    <w:p w14:paraId="154A7FB5"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 </w:t>
      </w:r>
    </w:p>
    <w:p w14:paraId="154A7FB6"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b/>
          <w:i/>
        </w:rPr>
        <w:t>Parágrafo: </w:t>
      </w:r>
      <w:r w:rsidRPr="003836A1">
        <w:rPr>
          <w:rFonts w:ascii="Arial" w:eastAsia="Arial" w:hAnsi="Arial" w:cs="Arial"/>
          <w:i/>
        </w:rPr>
        <w:t>La Secretaría Distrital de Seguridad, Convivencia y Justicia elaborará los lineamientos que resulten necesarios para el uso de las cámaras instaladas por otras entidades públicas o privadas, los cuales serán sometidos a la aprobación del Comité Operativo de Apoyo y Seguimiento del C4.</w:t>
      </w:r>
    </w:p>
    <w:p w14:paraId="154A7FB7" w14:textId="77777777" w:rsidR="00610266" w:rsidRPr="003836A1" w:rsidRDefault="00610266" w:rsidP="003836A1">
      <w:pPr>
        <w:pStyle w:val="Ttulo2"/>
        <w:ind w:left="426"/>
        <w:rPr>
          <w:b w:val="0"/>
          <w:i/>
        </w:rPr>
      </w:pPr>
    </w:p>
    <w:p w14:paraId="154A7FB8"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b/>
          <w:i/>
        </w:rPr>
        <w:t>Artículo 17º.- Componentes del</w:t>
      </w:r>
      <w:r w:rsidRPr="003836A1">
        <w:rPr>
          <w:rFonts w:ascii="Arial" w:eastAsia="Arial" w:hAnsi="Arial" w:cs="Arial"/>
          <w:i/>
        </w:rPr>
        <w:t> </w:t>
      </w:r>
      <w:r w:rsidRPr="003836A1">
        <w:rPr>
          <w:rFonts w:ascii="Arial" w:eastAsia="Arial" w:hAnsi="Arial" w:cs="Arial"/>
          <w:b/>
          <w:i/>
        </w:rPr>
        <w:t>Sistema de Videovigilancia ciudadana del Distrito Capital. </w:t>
      </w:r>
      <w:r w:rsidRPr="003836A1">
        <w:rPr>
          <w:rFonts w:ascii="Arial" w:eastAsia="Arial" w:hAnsi="Arial" w:cs="Arial"/>
          <w:i/>
        </w:rPr>
        <w:t>El sistema de videovigilancia está conformada por:</w:t>
      </w:r>
    </w:p>
    <w:p w14:paraId="154A7FB9"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7FBA"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b/>
          <w:i/>
        </w:rPr>
        <w:t>1.</w:t>
      </w:r>
      <w:r w:rsidRPr="003836A1">
        <w:rPr>
          <w:rFonts w:ascii="Arial" w:eastAsia="Arial" w:hAnsi="Arial" w:cs="Arial"/>
          <w:i/>
        </w:rPr>
        <w:t> </w:t>
      </w:r>
      <w:r w:rsidRPr="003836A1">
        <w:rPr>
          <w:rFonts w:ascii="Arial" w:eastAsia="Arial" w:hAnsi="Arial" w:cs="Arial"/>
          <w:b/>
          <w:i/>
        </w:rPr>
        <w:t>Centros de Monitoreo</w:t>
      </w:r>
      <w:r w:rsidRPr="003836A1">
        <w:rPr>
          <w:rFonts w:ascii="Arial" w:eastAsia="Arial" w:hAnsi="Arial" w:cs="Arial"/>
          <w:i/>
        </w:rPr>
        <w:t>: son el conjunto de infraestructura y personal necesario para la visualización de las cámaras en tiempo real.  El centro de monitoreo principal se encuentra ubicado en la Oficina Centro de Comando, Control, Comunicaciones y Cómputo - C4 de la Secretaría Distrital de Seguridad, Convivencia y Justicia.</w:t>
      </w:r>
    </w:p>
    <w:p w14:paraId="154A7FBB"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b/>
          <w:i/>
        </w:rPr>
        <w:t> </w:t>
      </w:r>
    </w:p>
    <w:p w14:paraId="154A7FBC"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Adicionalmente, el Distrito Capital dispone de los siguientes Centros de Monitoreo: Comandos Operativos de Seguridad Ciudadana COSEC; Centro de Comando, Control, Comunicaciones y Cómputo - C4, Estaciones de Policía; Comando Central de la Policía Nacional y Comando Central MEBOG.  Los COSEC deberán en un plazo no mayor a un (1) año luego de la expedición del presente decreto, adicionar a la función de visualización, la recepción y el seguimiento a los incidentes mediante la implementación de Estaciones Centro Automático de Despacho - CAD con capacidad de recepción, despacho y la infraestructura necesaria para ello.</w:t>
      </w:r>
    </w:p>
    <w:p w14:paraId="154A7FBD"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7FBE"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b/>
          <w:i/>
        </w:rPr>
        <w:t>2.</w:t>
      </w:r>
      <w:r w:rsidRPr="003836A1">
        <w:rPr>
          <w:rFonts w:ascii="Arial" w:eastAsia="Arial" w:hAnsi="Arial" w:cs="Arial"/>
          <w:i/>
        </w:rPr>
        <w:t> </w:t>
      </w:r>
      <w:r w:rsidRPr="003836A1">
        <w:rPr>
          <w:rFonts w:ascii="Arial" w:eastAsia="Arial" w:hAnsi="Arial" w:cs="Arial"/>
          <w:b/>
          <w:i/>
        </w:rPr>
        <w:t>Centros de Datos:</w:t>
      </w:r>
      <w:r w:rsidRPr="003836A1">
        <w:rPr>
          <w:rFonts w:ascii="Arial" w:eastAsia="Arial" w:hAnsi="Arial" w:cs="Arial"/>
          <w:i/>
        </w:rPr>
        <w:t> Es la infraestructura tecnológica para la operación del sistema de videovigilancia y ubicados en los Centros de Monitoreo y en el Data Center (Centro de Datos) de la Unidad Administrativa Especial Cuerpo Oficial de Bomberos de Bogotá, UAECOB. </w:t>
      </w:r>
    </w:p>
    <w:p w14:paraId="154A7FBF"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7FC0"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b/>
          <w:i/>
        </w:rPr>
        <w:t>3.</w:t>
      </w:r>
      <w:r w:rsidRPr="003836A1">
        <w:rPr>
          <w:rFonts w:ascii="Arial" w:eastAsia="Arial" w:hAnsi="Arial" w:cs="Arial"/>
          <w:i/>
        </w:rPr>
        <w:t> </w:t>
      </w:r>
      <w:r w:rsidRPr="003836A1">
        <w:rPr>
          <w:rFonts w:ascii="Arial" w:eastAsia="Arial" w:hAnsi="Arial" w:cs="Arial"/>
          <w:b/>
          <w:i/>
        </w:rPr>
        <w:t>Puntos de videovigilancia:</w:t>
      </w:r>
      <w:r w:rsidRPr="003836A1">
        <w:rPr>
          <w:rFonts w:ascii="Arial" w:eastAsia="Arial" w:hAnsi="Arial" w:cs="Arial"/>
          <w:i/>
        </w:rPr>
        <w:t> Son aquellos ubicados a lo largo y ancho del Distrito Capital de acuerdo con los índices de criminalidad. Cada punto de videovigilancia se compone de: Cámara PTZ, brazo, gabinete, transformador de aislamiento, UPS, tomas eléctricas, equipos de comunicación (router, demarcador y switch), corona antiescalatoria, poste, caja de inspección, sistema puesta a tierra – SPT.</w:t>
      </w:r>
    </w:p>
    <w:p w14:paraId="154A7FC1"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7FC2"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b/>
          <w:i/>
        </w:rPr>
        <w:t>4.</w:t>
      </w:r>
      <w:r w:rsidRPr="003836A1">
        <w:rPr>
          <w:rFonts w:ascii="Arial" w:eastAsia="Arial" w:hAnsi="Arial" w:cs="Arial"/>
          <w:i/>
        </w:rPr>
        <w:t> </w:t>
      </w:r>
      <w:r w:rsidRPr="003836A1">
        <w:rPr>
          <w:rFonts w:ascii="Arial" w:eastAsia="Arial" w:hAnsi="Arial" w:cs="Arial"/>
          <w:b/>
          <w:i/>
        </w:rPr>
        <w:t>Servicios de terceros:</w:t>
      </w:r>
      <w:r w:rsidRPr="003836A1">
        <w:rPr>
          <w:rFonts w:ascii="Arial" w:eastAsia="Arial" w:hAnsi="Arial" w:cs="Arial"/>
          <w:i/>
        </w:rPr>
        <w:t> Son los servicios para ubicar las cámaras de videovigilancia, orientados al uso de la infraestructura del servicio de energía y comunicaciones para la conexión, suministro de energía y telecomunicaciones y demás relacionados para el funcionamiento de las cámaras.</w:t>
      </w:r>
    </w:p>
    <w:p w14:paraId="154A7FC3" w14:textId="77777777" w:rsidR="00610266" w:rsidRPr="003836A1" w:rsidRDefault="00610266" w:rsidP="003836A1">
      <w:pPr>
        <w:widowControl/>
        <w:shd w:val="clear" w:color="auto" w:fill="FFFFFF"/>
        <w:ind w:left="709"/>
        <w:rPr>
          <w:rFonts w:ascii="Arial" w:eastAsia="Arial" w:hAnsi="Arial" w:cs="Arial"/>
          <w:i/>
        </w:rPr>
      </w:pPr>
    </w:p>
    <w:p w14:paraId="154A7FC4"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b/>
          <w:i/>
        </w:rPr>
        <w:t>5. Analítica video y Analítica Forense:  </w:t>
      </w:r>
      <w:r w:rsidRPr="003836A1">
        <w:rPr>
          <w:rFonts w:ascii="Arial" w:eastAsia="Arial" w:hAnsi="Arial" w:cs="Arial"/>
          <w:i/>
        </w:rPr>
        <w:t>La analítica de video y la analítica forense hacen referencia a las aplicaciones de software y la infraestructura tecnológica que las soporta, permiten generar descripciones (metadatos) de lo que ocurre en el video en tiempo real o sobre la información almacenada respectivamente, la cual se pueden utilizar para identificar situaciones como abandono de paquetes, traspaso de líneas, conteo y generación de aglomeraciones entre otros, generando las alertas correspondientes</w:t>
      </w:r>
    </w:p>
    <w:p w14:paraId="154A7FC5"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7FC6"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Dada la cantidad de cámaras instaladas y la información que estas generan, se hace necesario implementar herramientas que sin intervención humana, permitan detectar cierto tipo de eventos de interés.</w:t>
      </w:r>
    </w:p>
    <w:p w14:paraId="154A7FC7"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7FC8"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b/>
          <w:i/>
        </w:rPr>
        <w:t>5.</w:t>
      </w:r>
      <w:r w:rsidRPr="003836A1">
        <w:rPr>
          <w:rFonts w:ascii="Arial" w:eastAsia="Arial" w:hAnsi="Arial" w:cs="Arial"/>
          <w:i/>
        </w:rPr>
        <w:t> </w:t>
      </w:r>
      <w:r w:rsidRPr="003836A1">
        <w:rPr>
          <w:rFonts w:ascii="Arial" w:eastAsia="Arial" w:hAnsi="Arial" w:cs="Arial"/>
          <w:b/>
          <w:i/>
        </w:rPr>
        <w:t>Conformación del Sistema</w:t>
      </w:r>
      <w:r w:rsidRPr="003836A1">
        <w:rPr>
          <w:rFonts w:ascii="Arial" w:eastAsia="Arial" w:hAnsi="Arial" w:cs="Arial"/>
          <w:i/>
        </w:rPr>
        <w:t> </w:t>
      </w:r>
      <w:r w:rsidRPr="003836A1">
        <w:rPr>
          <w:rFonts w:ascii="Arial" w:eastAsia="Arial" w:hAnsi="Arial" w:cs="Arial"/>
          <w:b/>
          <w:i/>
        </w:rPr>
        <w:t>de Videovigilancia: </w:t>
      </w:r>
      <w:r w:rsidRPr="003836A1">
        <w:rPr>
          <w:rFonts w:ascii="Arial" w:eastAsia="Arial" w:hAnsi="Arial" w:cs="Arial"/>
          <w:i/>
        </w:rPr>
        <w:t>está conformado por el Sistema de la Oficina Centro de Comando, Control, Comunicaciones y Cómputo – C4 de la Secretaría Distrital de Seguridad, Convivencia y Justicia; los sistemas de videovigilancia de Movilidad, Transmilenio, la Corporación Autónoma Regional - CAR, el del apoyo aéreo tripulado y no tripulado y el de los Colegios Distritales.</w:t>
      </w:r>
    </w:p>
    <w:p w14:paraId="154A7FC9" w14:textId="77777777" w:rsidR="00610266" w:rsidRPr="003836A1" w:rsidRDefault="00610266" w:rsidP="003836A1">
      <w:pPr>
        <w:pStyle w:val="Ttulo2"/>
        <w:ind w:left="426"/>
        <w:rPr>
          <w:b w:val="0"/>
          <w:i/>
        </w:rPr>
      </w:pPr>
    </w:p>
    <w:p w14:paraId="154A7FCA" w14:textId="77777777" w:rsidR="00610266" w:rsidRPr="003836A1" w:rsidRDefault="00F95AB8" w:rsidP="003836A1">
      <w:pPr>
        <w:pStyle w:val="Ttulo2"/>
        <w:ind w:left="426"/>
        <w:jc w:val="both"/>
        <w:rPr>
          <w:i/>
        </w:rPr>
      </w:pPr>
      <w:r w:rsidRPr="003836A1">
        <w:rPr>
          <w:i/>
          <w:highlight w:val="white"/>
        </w:rPr>
        <w:t>Artículo 19º.- Redes de Participación Cívica.</w:t>
      </w:r>
      <w:r w:rsidRPr="003836A1">
        <w:rPr>
          <w:b w:val="0"/>
          <w:i/>
          <w:highlight w:val="white"/>
        </w:rPr>
        <w:t xml:space="preserve"> El Sistema Centro de Comando, Control, Comunicaciones y Cómputo – C4 aportará al fortalecimiento y la eficiencia de la operación de las Redes de Participación Cívica a través de su integración con las Estaciones del Sistema de Información de Recepción y Despacho del NUSE -123 y su inclusión al sistema de radio troncalizado. </w:t>
      </w:r>
      <w:r w:rsidRPr="003836A1">
        <w:rPr>
          <w:i/>
        </w:rPr>
        <w:t>(…)</w:t>
      </w:r>
    </w:p>
    <w:p w14:paraId="154A7FCB" w14:textId="77777777" w:rsidR="00610266" w:rsidRPr="003836A1" w:rsidRDefault="00610266" w:rsidP="003836A1">
      <w:pPr>
        <w:widowControl/>
        <w:shd w:val="clear" w:color="auto" w:fill="FFFFFF"/>
        <w:ind w:left="426"/>
        <w:jc w:val="both"/>
        <w:rPr>
          <w:rFonts w:ascii="Arial" w:eastAsia="Arial" w:hAnsi="Arial" w:cs="Arial"/>
          <w:b/>
          <w:i/>
        </w:rPr>
      </w:pPr>
    </w:p>
    <w:p w14:paraId="154A7FCC"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b/>
          <w:i/>
        </w:rPr>
        <w:t>Artículo 21º.- Los Sistemas de Información y Análisis de Información. </w:t>
      </w:r>
      <w:r w:rsidRPr="003836A1">
        <w:rPr>
          <w:rFonts w:ascii="Arial" w:eastAsia="Arial" w:hAnsi="Arial" w:cs="Arial"/>
          <w:i/>
        </w:rPr>
        <w:t>Es la información centralizada y confiable para la toma de decisiones y la mejora en los tiempos de respuesta en los servicios de seguridad y emergencias en el Distrito Capital para el cumplimiento de los objetivos y la operación eficiente del C4, así como el Sistema de Análisis de Información que aporta conocimiento para la prevención y anticipación de dichos eventos.</w:t>
      </w:r>
    </w:p>
    <w:p w14:paraId="154A7FCD"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 </w:t>
      </w:r>
    </w:p>
    <w:p w14:paraId="154A7FCE"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Se podrán integrar otros sistemas de información, plataformas, módulos, aplicaciones de software, fuentes de información o herramientas de captura de información que aporten a potenciar capacidades del C4 o del Sistema de Información de Recepción y Despacho para la gestión en seguridad, urgencias y emergencias, en concordancia con lo indicado en el artículo 12 del presente decreto.</w:t>
      </w:r>
    </w:p>
    <w:p w14:paraId="154A7FCF" w14:textId="77777777" w:rsidR="00610266" w:rsidRPr="003836A1" w:rsidRDefault="00610266" w:rsidP="003836A1">
      <w:pPr>
        <w:pStyle w:val="Ttulo2"/>
        <w:ind w:left="0"/>
        <w:rPr>
          <w:b w:val="0"/>
          <w:i/>
        </w:rPr>
      </w:pPr>
    </w:p>
    <w:p w14:paraId="154A7FD0" w14:textId="77777777" w:rsidR="00610266" w:rsidRPr="003836A1" w:rsidRDefault="00F95AB8" w:rsidP="003836A1">
      <w:pPr>
        <w:widowControl/>
        <w:numPr>
          <w:ilvl w:val="0"/>
          <w:numId w:val="5"/>
        </w:numPr>
        <w:pBdr>
          <w:top w:val="nil"/>
          <w:left w:val="nil"/>
          <w:bottom w:val="nil"/>
          <w:right w:val="nil"/>
          <w:between w:val="nil"/>
        </w:pBdr>
        <w:ind w:left="142" w:firstLine="0"/>
        <w:jc w:val="both"/>
        <w:rPr>
          <w:rFonts w:ascii="Arial" w:eastAsia="Arial" w:hAnsi="Arial" w:cs="Arial"/>
          <w:i/>
        </w:rPr>
      </w:pPr>
      <w:bookmarkStart w:id="17" w:name="_heading=h.1ksv4uv" w:colFirst="0" w:colLast="0"/>
      <w:bookmarkEnd w:id="17"/>
      <w:r w:rsidRPr="003836A1">
        <w:rPr>
          <w:rFonts w:ascii="Arial" w:eastAsia="Arial" w:hAnsi="Arial" w:cs="Arial"/>
          <w:b/>
          <w:i/>
        </w:rPr>
        <w:t>Decreto 596 de 2011.</w:t>
      </w:r>
      <w:r w:rsidRPr="003836A1">
        <w:rPr>
          <w:rFonts w:ascii="Arial" w:eastAsia="Arial" w:hAnsi="Arial" w:cs="Arial"/>
          <w:i/>
        </w:rPr>
        <w:t xml:space="preserve"> “Por medio del cual se adopta la Política Distrital de Salud Ambiental para Bogotá, D.C., 2011 – 2023”. </w:t>
      </w:r>
    </w:p>
    <w:p w14:paraId="154A7FD1" w14:textId="77777777" w:rsidR="00610266" w:rsidRPr="003836A1" w:rsidRDefault="00610266" w:rsidP="003836A1">
      <w:pPr>
        <w:jc w:val="both"/>
        <w:rPr>
          <w:rFonts w:ascii="Arial" w:eastAsia="Arial" w:hAnsi="Arial" w:cs="Arial"/>
          <w:i/>
        </w:rPr>
      </w:pPr>
    </w:p>
    <w:p w14:paraId="154A7FD2" w14:textId="77777777" w:rsidR="00610266" w:rsidRPr="003836A1" w:rsidRDefault="00F95AB8" w:rsidP="003836A1">
      <w:pPr>
        <w:ind w:left="426"/>
        <w:jc w:val="both"/>
        <w:rPr>
          <w:rFonts w:ascii="Arial" w:eastAsia="Arial" w:hAnsi="Arial" w:cs="Arial"/>
          <w:i/>
          <w:highlight w:val="white"/>
        </w:rPr>
      </w:pPr>
      <w:r w:rsidRPr="003836A1">
        <w:rPr>
          <w:rFonts w:ascii="Arial" w:eastAsia="Arial" w:hAnsi="Arial" w:cs="Arial"/>
          <w:b/>
          <w:i/>
          <w:highlight w:val="white"/>
        </w:rPr>
        <w:t>Artículo 9°. Estrategias para la Implementación.</w:t>
      </w:r>
      <w:r w:rsidRPr="003836A1">
        <w:rPr>
          <w:rFonts w:ascii="Arial" w:eastAsia="Arial" w:hAnsi="Arial" w:cs="Arial"/>
          <w:i/>
          <w:highlight w:val="white"/>
        </w:rPr>
        <w:t> Para la implementación de la Política Distrital de Salud Ambiental para Bogotá, D.C., se adoptan las siguientes estrategias:</w:t>
      </w:r>
    </w:p>
    <w:p w14:paraId="154A7FD3" w14:textId="77777777" w:rsidR="00610266" w:rsidRPr="003836A1" w:rsidRDefault="00610266" w:rsidP="003836A1">
      <w:pPr>
        <w:ind w:left="426"/>
        <w:jc w:val="both"/>
        <w:rPr>
          <w:rFonts w:ascii="Arial" w:eastAsia="Arial" w:hAnsi="Arial" w:cs="Arial"/>
          <w:i/>
          <w:highlight w:val="white"/>
        </w:rPr>
      </w:pPr>
    </w:p>
    <w:p w14:paraId="154A7FD4"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b/>
          <w:i/>
        </w:rPr>
        <w:t>9.2. Promoción de Entornos Ambientalmente Saludables.</w:t>
      </w:r>
      <w:r w:rsidRPr="003836A1">
        <w:rPr>
          <w:rFonts w:ascii="Arial" w:eastAsia="Arial" w:hAnsi="Arial" w:cs="Arial"/>
          <w:i/>
        </w:rPr>
        <w:t> La promoción de Entornos Ambientalmente Saludables contribuye a combatir los problemas que amenazan la salud integral de las personas, familias y comunidades, a mejorar las condiciones del entorno y los ecosistemas, y a fortalecer las conductas que benefician la protección del ambiente y la salud de la población.</w:t>
      </w:r>
    </w:p>
    <w:p w14:paraId="154A7FD5"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i/>
        </w:rPr>
      </w:pPr>
    </w:p>
    <w:p w14:paraId="154A7FD6"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i/>
        </w:rPr>
        <w:t>Un entorno ambientalmente saludable reconoce tanto los espacios biofísicos favorables para el desarrollo humano sostenible, como las acciones intersectoriales y comunitarias tendentes a proteger la salud ambiental a nivel territorial, involucrando la identidad cultural con el territorio, su uso y apropiación, al tiempo que desarrolla acciones de promoción de la salud y prevención de la enfermedad, conducentes a mejorar los espacios biofísicos y generar cambios en los hábitos, estilos y modos de vida de los individuos, familias y comunidades.</w:t>
      </w:r>
    </w:p>
    <w:p w14:paraId="154A7FD7"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i/>
        </w:rPr>
      </w:pPr>
    </w:p>
    <w:p w14:paraId="154A7FD8"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i/>
        </w:rPr>
        <w:t>Con esta estrategia se pretende promover el desarrollo de entornos ambiental y socialmente favorables para la salud, articulando acciones donde los diferentes sectores y actores se relacionen y participen en la identificación de necesidades, potencialidades y recursos, así como en la elaboración de programas y planes específicos para su mejoramiento desde una perspectiva de gestión integral de la salud ambiental.</w:t>
      </w:r>
    </w:p>
    <w:p w14:paraId="154A7FD9"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i/>
        </w:rPr>
      </w:pPr>
    </w:p>
    <w:p w14:paraId="154A7FDA" w14:textId="77777777" w:rsidR="00610266" w:rsidRPr="003836A1" w:rsidRDefault="00F95AB8" w:rsidP="003836A1">
      <w:pPr>
        <w:pStyle w:val="Ttulo2"/>
        <w:numPr>
          <w:ilvl w:val="0"/>
          <w:numId w:val="1"/>
        </w:numPr>
        <w:ind w:left="142" w:firstLine="0"/>
        <w:jc w:val="both"/>
        <w:rPr>
          <w:i/>
        </w:rPr>
      </w:pPr>
      <w:r w:rsidRPr="003836A1">
        <w:rPr>
          <w:i/>
        </w:rPr>
        <w:t>Decreto 825 de 2019 “</w:t>
      </w:r>
      <w:r w:rsidRPr="003836A1">
        <w:rPr>
          <w:i/>
          <w:highlight w:val="white"/>
        </w:rPr>
        <w:t>Por medio del cual se establecen los perímetros y zonas para la restricción del porte, consumo, facilitamiento, distribución, ofrecimiento y comercialización de sustancias psicoactivas, de conformidad con lo previsto en los artículos </w:t>
      </w:r>
      <w:hyperlink r:id="rId68">
        <w:r w:rsidRPr="003836A1">
          <w:rPr>
            <w:i/>
          </w:rPr>
          <w:t>2</w:t>
        </w:r>
      </w:hyperlink>
      <w:r w:rsidRPr="003836A1">
        <w:rPr>
          <w:i/>
          <w:highlight w:val="white"/>
        </w:rPr>
        <w:t> y </w:t>
      </w:r>
      <w:hyperlink r:id="rId69" w:anchor="3">
        <w:r w:rsidRPr="003836A1">
          <w:rPr>
            <w:i/>
          </w:rPr>
          <w:t>3</w:t>
        </w:r>
      </w:hyperlink>
      <w:r w:rsidRPr="003836A1">
        <w:rPr>
          <w:i/>
          <w:highlight w:val="white"/>
        </w:rPr>
        <w:t> de la ley 2000 de 2019, modificatorios parcialmente de los artículos </w:t>
      </w:r>
      <w:hyperlink r:id="rId70" w:anchor="34">
        <w:r w:rsidRPr="003836A1">
          <w:rPr>
            <w:i/>
          </w:rPr>
          <w:t>34</w:t>
        </w:r>
      </w:hyperlink>
      <w:r w:rsidRPr="003836A1">
        <w:rPr>
          <w:i/>
          <w:highlight w:val="white"/>
        </w:rPr>
        <w:t> y </w:t>
      </w:r>
      <w:hyperlink r:id="rId71" w:anchor="140">
        <w:r w:rsidRPr="003836A1">
          <w:rPr>
            <w:i/>
          </w:rPr>
          <w:t>140</w:t>
        </w:r>
      </w:hyperlink>
      <w:r w:rsidRPr="003836A1">
        <w:rPr>
          <w:i/>
          <w:highlight w:val="white"/>
        </w:rPr>
        <w:t> de la Ley 1801 de 2016, y se dictan otras disposiciones”</w:t>
      </w:r>
    </w:p>
    <w:p w14:paraId="154A7FDB" w14:textId="77777777" w:rsidR="00610266" w:rsidRPr="003836A1" w:rsidRDefault="00610266" w:rsidP="003836A1">
      <w:pPr>
        <w:pStyle w:val="Ttulo2"/>
        <w:tabs>
          <w:tab w:val="left" w:pos="830"/>
          <w:tab w:val="left" w:pos="831"/>
        </w:tabs>
        <w:ind w:firstLine="119"/>
        <w:rPr>
          <w:i/>
        </w:rPr>
      </w:pPr>
    </w:p>
    <w:p w14:paraId="154A7FDC" w14:textId="77777777" w:rsidR="00610266" w:rsidRPr="003836A1" w:rsidRDefault="00F95AB8" w:rsidP="003836A1">
      <w:pPr>
        <w:pStyle w:val="Ttulo2"/>
        <w:ind w:left="426"/>
        <w:jc w:val="both"/>
        <w:rPr>
          <w:b w:val="0"/>
          <w:i/>
        </w:rPr>
      </w:pPr>
      <w:r w:rsidRPr="003836A1">
        <w:rPr>
          <w:i/>
          <w:highlight w:val="white"/>
        </w:rPr>
        <w:t>Artículo 1.- Objeto</w:t>
      </w:r>
      <w:r w:rsidRPr="003836A1">
        <w:rPr>
          <w:b w:val="0"/>
          <w:i/>
          <w:highlight w:val="white"/>
        </w:rPr>
        <w:t>: Establecer el perímetro del espacio público o lugares abiertos al público o del espacio público, aledaños a las instituciones o centros educativos, en el que se restringirá el porte, consumo, facilitamiento, distribución, ofrecimiento y comercialización de sustancias psicoactivas - incluso la dosis personal; e igualmente las áreas o zonas del espacio público en las que no se podrán realizar tales actividades.</w:t>
      </w:r>
    </w:p>
    <w:p w14:paraId="154A7FDD" w14:textId="77777777" w:rsidR="00610266" w:rsidRPr="003836A1" w:rsidRDefault="00610266" w:rsidP="003836A1">
      <w:pPr>
        <w:pStyle w:val="Ttulo2"/>
        <w:tabs>
          <w:tab w:val="left" w:pos="830"/>
          <w:tab w:val="left" w:pos="831"/>
        </w:tabs>
        <w:ind w:left="426"/>
        <w:rPr>
          <w:i/>
        </w:rPr>
      </w:pPr>
    </w:p>
    <w:p w14:paraId="154A7FDE"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b/>
          <w:i/>
        </w:rPr>
        <w:t>Artículo 2.- Perímetro para restricción: </w:t>
      </w:r>
      <w:r w:rsidRPr="003836A1">
        <w:rPr>
          <w:rFonts w:ascii="Arial" w:eastAsia="Arial" w:hAnsi="Arial" w:cs="Arial"/>
          <w:i/>
        </w:rPr>
        <w:t>Se establece en doscientos (200) metros el perímetro circundante del área o lugares abiertos al público o zona del espacio público, en el que no se permitirá el consumo, porte, facilitamiento, distribución, ofrecimiento o comercialización de sustancias psicoactivas, inclusive la dosis personal, durante las veinticuatro (24) horas del día, los siete (7) días a la semana. Los equipamientos (entornos) que comprenderán el perímetro circundante en el que operará la restricción, son:</w:t>
      </w:r>
    </w:p>
    <w:p w14:paraId="154A7FDF"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i/>
        </w:rPr>
        <w:t> </w:t>
      </w:r>
    </w:p>
    <w:p w14:paraId="154A7FE0"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b/>
          <w:i/>
        </w:rPr>
        <w:t>1. </w:t>
      </w:r>
      <w:r w:rsidRPr="003836A1">
        <w:rPr>
          <w:rFonts w:ascii="Arial" w:eastAsia="Arial" w:hAnsi="Arial" w:cs="Arial"/>
          <w:i/>
        </w:rPr>
        <w:t>Instituciones de Educación formal y de educación para el trabajo y desarrollo humano público y privado ubicado en Bogotá, Distrito Capital: jardines infantiles; establecimientos educativos en sus niveles: preescolar, básica primaria y básica secundaria y media; Instituciones de Educación Superior; Centros de Atención para Población Vinculada al Sistema de Responsabilidad Penal para Adolescentes.</w:t>
      </w:r>
    </w:p>
    <w:p w14:paraId="154A7FE1"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 </w:t>
      </w:r>
    </w:p>
    <w:p w14:paraId="154A7FE2"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b/>
          <w:i/>
        </w:rPr>
        <w:t>2. </w:t>
      </w:r>
      <w:r w:rsidRPr="003836A1">
        <w:rPr>
          <w:rFonts w:ascii="Arial" w:eastAsia="Arial" w:hAnsi="Arial" w:cs="Arial"/>
          <w:i/>
        </w:rPr>
        <w:t>Estadios, coliseos y centros deportivos.</w:t>
      </w:r>
    </w:p>
    <w:p w14:paraId="154A7FE3"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 </w:t>
      </w:r>
    </w:p>
    <w:p w14:paraId="154A7FE4"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b/>
          <w:i/>
        </w:rPr>
        <w:t>3. </w:t>
      </w:r>
      <w:r w:rsidRPr="003836A1">
        <w:rPr>
          <w:rFonts w:ascii="Arial" w:eastAsia="Arial" w:hAnsi="Arial" w:cs="Arial"/>
          <w:i/>
        </w:rPr>
        <w:t>Parques: Para efecto del presente decreto, de conformidad con lo establecido en el Plan de Ordenamiento Territorial, POT, se entiende por parques los siguientes: 1. Parques de escala regional; 2. Parques de escala metropolitana; 3. Parques de escala zonal; 4. Parques de escala vecinal y 5. Parques de bolsillo.</w:t>
      </w:r>
    </w:p>
    <w:p w14:paraId="154A7FE5"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 </w:t>
      </w:r>
    </w:p>
    <w:p w14:paraId="154A7FE6"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b/>
          <w:i/>
        </w:rPr>
        <w:t>4. </w:t>
      </w:r>
      <w:r w:rsidRPr="003836A1">
        <w:rPr>
          <w:rFonts w:ascii="Arial" w:eastAsia="Arial" w:hAnsi="Arial" w:cs="Arial"/>
          <w:i/>
        </w:rPr>
        <w:t>Plazas y plazoletas: entendidas estas como elementos estructurantes del espacio público, de conformidad con lo dispuesto en los artículos 246 y 266 del POT.</w:t>
      </w:r>
    </w:p>
    <w:p w14:paraId="154A7FE7"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b/>
          <w:i/>
        </w:rPr>
        <w:t> </w:t>
      </w:r>
    </w:p>
    <w:p w14:paraId="154A7FE8"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b/>
          <w:i/>
        </w:rPr>
        <w:t>5. </w:t>
      </w:r>
      <w:r w:rsidRPr="003836A1">
        <w:rPr>
          <w:rFonts w:ascii="Arial" w:eastAsia="Arial" w:hAnsi="Arial" w:cs="Arial"/>
          <w:i/>
        </w:rPr>
        <w:t>Sistema de Transporte masivo, así como estaciones y lugares de acceso al mismo.</w:t>
      </w:r>
    </w:p>
    <w:p w14:paraId="154A7FE9"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 </w:t>
      </w:r>
    </w:p>
    <w:p w14:paraId="154A7FEA"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b/>
          <w:i/>
        </w:rPr>
        <w:t>6. </w:t>
      </w:r>
      <w:r w:rsidRPr="003836A1">
        <w:rPr>
          <w:rFonts w:ascii="Arial" w:eastAsia="Arial" w:hAnsi="Arial" w:cs="Arial"/>
          <w:i/>
        </w:rPr>
        <w:t>Instituciones Prestadoras de Servicios de Salud públicas y privadas.</w:t>
      </w:r>
    </w:p>
    <w:p w14:paraId="154A7FEB"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 </w:t>
      </w:r>
    </w:p>
    <w:p w14:paraId="154A7FEC"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b/>
          <w:i/>
        </w:rPr>
        <w:t>7. </w:t>
      </w:r>
      <w:r w:rsidRPr="003836A1">
        <w:rPr>
          <w:rFonts w:ascii="Arial" w:eastAsia="Arial" w:hAnsi="Arial" w:cs="Arial"/>
          <w:i/>
        </w:rPr>
        <w:t>Instituciones de Protección Social de naturaleza pública.</w:t>
      </w:r>
    </w:p>
    <w:p w14:paraId="154A7FED"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b/>
          <w:i/>
        </w:rPr>
        <w:t> </w:t>
      </w:r>
    </w:p>
    <w:p w14:paraId="154A7FEE"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b/>
          <w:i/>
        </w:rPr>
        <w:t>Parágrafo 1.-</w:t>
      </w:r>
      <w:r w:rsidRPr="003836A1">
        <w:rPr>
          <w:rFonts w:ascii="Arial" w:eastAsia="Arial" w:hAnsi="Arial" w:cs="Arial"/>
          <w:i/>
        </w:rPr>
        <w:t> Para efectos de la aplicación del presente decreto se tendrán en cuenta las sustancias psicoactivas referidas en el artículo 2.2.8.9.1. del Decreto Nacional 1844 de 2018, o las disposiciones que lo modifiquen, sustituyan, reemplacen, adicionen o deroguen.</w:t>
      </w:r>
    </w:p>
    <w:p w14:paraId="154A7FEF"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i/>
        </w:rPr>
      </w:pPr>
    </w:p>
    <w:p w14:paraId="154A7FF0"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b/>
          <w:i/>
        </w:rPr>
        <w:t>Parágrafo 2.-</w:t>
      </w:r>
      <w:r w:rsidRPr="003836A1">
        <w:rPr>
          <w:rFonts w:ascii="Arial" w:eastAsia="Arial" w:hAnsi="Arial" w:cs="Arial"/>
          <w:i/>
        </w:rPr>
        <w:t> Tampoco se permitirá el consumo, porte, distribución, ofrecimiento o comercialización de sustancias psicoactivas, inclusive la dosis personal, en el interior de centros deportivos y en parques.</w:t>
      </w:r>
    </w:p>
    <w:p w14:paraId="154A7FF1" w14:textId="77777777" w:rsidR="00610266" w:rsidRPr="003836A1" w:rsidRDefault="00610266" w:rsidP="003836A1">
      <w:pPr>
        <w:pStyle w:val="Ttulo2"/>
        <w:tabs>
          <w:tab w:val="left" w:pos="830"/>
          <w:tab w:val="left" w:pos="831"/>
        </w:tabs>
        <w:ind w:left="426"/>
        <w:rPr>
          <w:i/>
        </w:rPr>
      </w:pPr>
    </w:p>
    <w:p w14:paraId="154A7FF2" w14:textId="77777777" w:rsidR="00610266" w:rsidRPr="003836A1" w:rsidRDefault="00F95AB8" w:rsidP="003836A1">
      <w:pPr>
        <w:pStyle w:val="Ttulo2"/>
        <w:tabs>
          <w:tab w:val="left" w:pos="830"/>
          <w:tab w:val="left" w:pos="831"/>
        </w:tabs>
        <w:ind w:left="426"/>
        <w:jc w:val="both"/>
        <w:rPr>
          <w:b w:val="0"/>
          <w:i/>
        </w:rPr>
      </w:pPr>
      <w:r w:rsidRPr="003836A1">
        <w:rPr>
          <w:i/>
          <w:highlight w:val="white"/>
        </w:rPr>
        <w:t>Artículo 4.- Seguimiento y Monitoreo:</w:t>
      </w:r>
      <w:r w:rsidRPr="003836A1">
        <w:rPr>
          <w:b w:val="0"/>
          <w:i/>
          <w:highlight w:val="white"/>
        </w:rPr>
        <w:t> Con el fin de salvaguardar la seguridad y convivencia ciudadana, la Policía Metropolitana de Bogotá, en coordinación con la Secretaría Distrital de Seguridad, Convivencia y Justicia, realizará operativos permanentes y continuos en los sitios aquí indicados para verificar el cumplimiento de lo dispuesto en el presente decreto y en el artículo </w:t>
      </w:r>
      <w:hyperlink r:id="rId72" w:anchor="2.2.8.9.1">
        <w:r w:rsidRPr="003836A1">
          <w:rPr>
            <w:b w:val="0"/>
            <w:i/>
          </w:rPr>
          <w:t>2.2.8.9.1</w:t>
        </w:r>
      </w:hyperlink>
      <w:r w:rsidRPr="003836A1">
        <w:rPr>
          <w:b w:val="0"/>
          <w:i/>
          <w:highlight w:val="white"/>
        </w:rPr>
        <w:t> del Decreto Nacional 1844 de 2018.</w:t>
      </w:r>
    </w:p>
    <w:p w14:paraId="154A7FF3" w14:textId="77777777" w:rsidR="00610266" w:rsidRPr="003836A1" w:rsidRDefault="00610266" w:rsidP="003836A1">
      <w:pPr>
        <w:pStyle w:val="Ttulo2"/>
        <w:tabs>
          <w:tab w:val="left" w:pos="830"/>
          <w:tab w:val="left" w:pos="831"/>
        </w:tabs>
        <w:ind w:left="0"/>
        <w:rPr>
          <w:i/>
        </w:rPr>
      </w:pPr>
    </w:p>
    <w:p w14:paraId="154A7FF4" w14:textId="77777777" w:rsidR="00610266" w:rsidRPr="003836A1" w:rsidRDefault="00F95AB8" w:rsidP="003836A1">
      <w:pPr>
        <w:widowControl/>
        <w:numPr>
          <w:ilvl w:val="0"/>
          <w:numId w:val="5"/>
        </w:numPr>
        <w:pBdr>
          <w:top w:val="nil"/>
          <w:left w:val="nil"/>
          <w:bottom w:val="nil"/>
          <w:right w:val="nil"/>
          <w:between w:val="nil"/>
        </w:pBdr>
        <w:shd w:val="clear" w:color="auto" w:fill="FFFFFF"/>
        <w:ind w:left="142" w:firstLine="0"/>
        <w:jc w:val="both"/>
        <w:rPr>
          <w:rFonts w:ascii="Arial" w:eastAsia="Arial" w:hAnsi="Arial" w:cs="Arial"/>
          <w:b/>
          <w:i/>
        </w:rPr>
      </w:pPr>
      <w:r w:rsidRPr="003836A1">
        <w:rPr>
          <w:rFonts w:ascii="Arial" w:eastAsia="Arial" w:hAnsi="Arial" w:cs="Arial"/>
          <w:b/>
          <w:i/>
        </w:rPr>
        <w:t xml:space="preserve">Acuerdo 079 de 2003 </w:t>
      </w:r>
      <w:r w:rsidRPr="003836A1">
        <w:rPr>
          <w:rFonts w:ascii="Arial" w:eastAsia="Arial" w:hAnsi="Arial" w:cs="Arial"/>
          <w:i/>
        </w:rPr>
        <w:t>“Por la cual se expide el Código de Policía de Bogotá, D.C.”</w:t>
      </w:r>
    </w:p>
    <w:p w14:paraId="154A7FF5"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b/>
          <w:i/>
        </w:rPr>
        <w:t>Artículo 14.- La seguridad como elemento esencial de la convivencia.</w:t>
      </w:r>
      <w:r w:rsidRPr="003836A1">
        <w:rPr>
          <w:rFonts w:ascii="Arial" w:eastAsia="Arial" w:hAnsi="Arial" w:cs="Arial"/>
          <w:i/>
        </w:rPr>
        <w:t> Las personas en el Distrito Capital de Bogotá tendrán mayor seguridad si se respeta a las personas, el domicilio, las cosas, los elementos, los equipos y la infraestructura para los servicios públicos, se toman precauciones en los espectáculos públicos y en las actividades peligrosas para evitar daños a los demás, se previenen incendios, se observan las normas de protección en las construcciones y, en general, se evitan las prácticas inseguras.</w:t>
      </w:r>
    </w:p>
    <w:p w14:paraId="154A7FF6"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i/>
        </w:rPr>
        <w:t>Son deberes generales para garantizar la seguridad, entre otros, los siguientes:</w:t>
      </w:r>
    </w:p>
    <w:p w14:paraId="154A7FF7"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i/>
        </w:rPr>
      </w:pPr>
    </w:p>
    <w:p w14:paraId="154A7FF8"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b/>
          <w:i/>
          <w:u w:val="single"/>
        </w:rPr>
      </w:pPr>
      <w:r w:rsidRPr="003836A1">
        <w:rPr>
          <w:rFonts w:ascii="Arial" w:eastAsia="Arial" w:hAnsi="Arial" w:cs="Arial"/>
          <w:b/>
          <w:i/>
          <w:u w:val="single"/>
        </w:rPr>
        <w:t>1. Prevenir los accidentes de las niñas y los niños, las jóvenes y los jóvenes, tomando las precauciones necesarias para su seguridad;</w:t>
      </w:r>
    </w:p>
    <w:p w14:paraId="154A7FF9"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2. Acudir a los mecanismos para la solución de conflictos diseñados por la Constitución y la Ley, buscando siempre construir soluciones acordadas, amigables o conciliadas, sin utilizar armas ni agresión física o verbal, ante cualquier conflicto de convivencia;</w:t>
      </w:r>
    </w:p>
    <w:p w14:paraId="154A7FFA"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3. Mantener en buen estado las construcciones propias;</w:t>
      </w:r>
    </w:p>
    <w:p w14:paraId="154A7FFB"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4. Cumplir las normas de seguridad y prevención contra incendios y demás situaciones que puedan atentar contra la seguridad en el espacio público, en los establecimientos comerciales y en los sitios abiertos al público;</w:t>
      </w:r>
    </w:p>
    <w:p w14:paraId="154A7FFC"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5. Prevenir accidentes o atentados contra las cosas;</w:t>
      </w:r>
    </w:p>
    <w:p w14:paraId="154A7FFD"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6. Dejar a las niñas y los niños menores de doce (12) años bajo el cuidado de una persona mayor, cuando los padres o sus representantes deban ausentarse de la casa, y</w:t>
      </w:r>
    </w:p>
    <w:p w14:paraId="154A7FFE"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7. No causar daño a los bienes del espacio público y repararlos en forma inmediata cuando se cause.</w:t>
      </w:r>
    </w:p>
    <w:p w14:paraId="154A7FFF" w14:textId="77777777" w:rsidR="00610266" w:rsidRPr="003836A1" w:rsidRDefault="00F95AB8" w:rsidP="003836A1">
      <w:pPr>
        <w:widowControl/>
        <w:pBdr>
          <w:top w:val="nil"/>
          <w:left w:val="nil"/>
          <w:bottom w:val="nil"/>
          <w:right w:val="nil"/>
          <w:between w:val="nil"/>
        </w:pBdr>
        <w:shd w:val="clear" w:color="auto" w:fill="FFFFFF"/>
        <w:ind w:left="709"/>
        <w:jc w:val="both"/>
        <w:rPr>
          <w:rFonts w:ascii="Arial" w:eastAsia="Arial" w:hAnsi="Arial" w:cs="Arial"/>
          <w:i/>
        </w:rPr>
      </w:pPr>
      <w:r w:rsidRPr="003836A1">
        <w:rPr>
          <w:rFonts w:ascii="Arial" w:eastAsia="Arial" w:hAnsi="Arial" w:cs="Arial"/>
          <w:i/>
        </w:rPr>
        <w:t>8. </w:t>
      </w:r>
      <w:hyperlink r:id="rId73" w:anchor="1">
        <w:r w:rsidRPr="003836A1">
          <w:rPr>
            <w:rFonts w:ascii="Arial" w:eastAsia="Arial" w:hAnsi="Arial" w:cs="Arial"/>
            <w:i/>
            <w:u w:val="single"/>
          </w:rPr>
          <w:t>Adicionado por el art. 1, Acuerdo Distrital 591 de 2015</w:t>
        </w:r>
      </w:hyperlink>
      <w:r w:rsidRPr="003836A1">
        <w:rPr>
          <w:rFonts w:ascii="Arial" w:eastAsia="Arial" w:hAnsi="Arial" w:cs="Arial"/>
          <w:i/>
        </w:rPr>
        <w:t>. &lt;El texto adicionado es el siguiente&gt; Utilizar Adecuadamente y con información veraz, el SISTEMA de Número Único de Seguridad y Emergencias NUSE 123 y los demás números telefónicos o líneas que las entidades públicas destinen para el reporte en casos de emergencia, urgencia o de inseguridad. En consecuencia, las personas se deberán abstener de realizar llamadas reportando falsas situaciones de emergencias, urgencias o que no se adecúen al propósito para los que fueron creadas tales líneas. Se exigirá respeto y buen trato al operador.</w:t>
      </w:r>
    </w:p>
    <w:p w14:paraId="154A8000" w14:textId="77777777" w:rsidR="00610266" w:rsidRPr="003836A1" w:rsidRDefault="00610266" w:rsidP="003836A1">
      <w:pPr>
        <w:widowControl/>
        <w:pBdr>
          <w:top w:val="nil"/>
          <w:left w:val="nil"/>
          <w:bottom w:val="nil"/>
          <w:right w:val="nil"/>
          <w:between w:val="nil"/>
        </w:pBdr>
        <w:shd w:val="clear" w:color="auto" w:fill="FFFFFF"/>
        <w:ind w:left="709"/>
        <w:jc w:val="both"/>
        <w:rPr>
          <w:rFonts w:ascii="Arial" w:eastAsia="Arial" w:hAnsi="Arial" w:cs="Arial"/>
          <w:i/>
        </w:rPr>
      </w:pPr>
    </w:p>
    <w:p w14:paraId="154A8001"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b/>
          <w:i/>
        </w:rPr>
        <w:t>Parágrafo:</w:t>
      </w:r>
      <w:r w:rsidRPr="003836A1">
        <w:rPr>
          <w:rFonts w:ascii="Arial" w:eastAsia="Arial" w:hAnsi="Arial" w:cs="Arial"/>
          <w:i/>
        </w:rPr>
        <w:t> </w:t>
      </w:r>
      <w:hyperlink r:id="rId74" w:anchor="2">
        <w:r w:rsidRPr="003836A1">
          <w:rPr>
            <w:rFonts w:ascii="Arial" w:eastAsia="Arial" w:hAnsi="Arial" w:cs="Arial"/>
            <w:i/>
            <w:u w:val="single"/>
          </w:rPr>
          <w:t>Adicionado por el art. 2, Acuerdo Distrital 591 de 2015.</w:t>
        </w:r>
      </w:hyperlink>
      <w:r w:rsidRPr="003836A1">
        <w:rPr>
          <w:rFonts w:ascii="Arial" w:eastAsia="Arial" w:hAnsi="Arial" w:cs="Arial"/>
          <w:i/>
        </w:rPr>
        <w:t> &lt;El texto adicionado es el siguiente&gt; El incumplimiento de la disposición contenida en el numeral </w:t>
      </w:r>
      <w:hyperlink r:id="rId75" w:anchor="14.8">
        <w:r w:rsidRPr="003836A1">
          <w:rPr>
            <w:rFonts w:ascii="Arial" w:eastAsia="Arial" w:hAnsi="Arial" w:cs="Arial"/>
            <w:i/>
            <w:u w:val="single"/>
          </w:rPr>
          <w:t>8</w:t>
        </w:r>
      </w:hyperlink>
      <w:r w:rsidRPr="003836A1">
        <w:rPr>
          <w:rFonts w:ascii="Arial" w:eastAsia="Arial" w:hAnsi="Arial" w:cs="Arial"/>
          <w:i/>
        </w:rPr>
        <w:t> del artículo 14, dará lugar a las medidas correctivas contenidas en el Código Nacional de Policía, el Código de Infancia y Adolescencia, las leyes que lo modifiquen o adicionen y en general, las establecidas por la ley para los comportamientos de que tratan dichas normas, de conformidad con las correspondientes reglas de competencia; sin perjuicio de las medidas correctivas contenidas en el Libro Tercero, Título III del Código de Policía de Bogotá.</w:t>
      </w:r>
    </w:p>
    <w:p w14:paraId="154A8002"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i/>
        </w:rPr>
      </w:pPr>
    </w:p>
    <w:p w14:paraId="154A8003"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b/>
          <w:i/>
          <w:u w:val="single"/>
        </w:rPr>
        <w:t>Artículo 38.- Prohibición a los adultos. En ningún caso se deberá incurrir en alguno de los siguientes comportamientos contrarios a la protección especial de las niñas y los niños:</w:t>
      </w:r>
      <w:r w:rsidRPr="003836A1">
        <w:rPr>
          <w:rFonts w:ascii="Arial" w:eastAsia="Arial" w:hAnsi="Arial" w:cs="Arial"/>
          <w:i/>
        </w:rPr>
        <w:t xml:space="preserve"> </w:t>
      </w:r>
    </w:p>
    <w:p w14:paraId="154A8004"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b/>
          <w:i/>
          <w:u w:val="single"/>
        </w:rPr>
      </w:pPr>
    </w:p>
    <w:p w14:paraId="154A8005"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b/>
          <w:i/>
          <w:u w:val="single"/>
        </w:rPr>
      </w:pPr>
      <w:r w:rsidRPr="003836A1">
        <w:rPr>
          <w:rFonts w:ascii="Arial" w:eastAsia="Arial" w:hAnsi="Arial" w:cs="Arial"/>
          <w:b/>
          <w:i/>
          <w:u w:val="single"/>
        </w:rPr>
        <w:t xml:space="preserve">5. Permitir, inducir y propiciar por cualquier medio a los menores de edad a consumir tabaco y sus derivados, ingerir bebidas embriagantes, estupefacientes y sustancias sicotrópicas o tóxicas; </w:t>
      </w:r>
    </w:p>
    <w:p w14:paraId="154A8006"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b/>
          <w:i/>
          <w:u w:val="single"/>
        </w:rPr>
      </w:pPr>
    </w:p>
    <w:p w14:paraId="154A8007" w14:textId="77777777" w:rsidR="00610266" w:rsidRPr="003836A1" w:rsidRDefault="00F95AB8" w:rsidP="003836A1">
      <w:pPr>
        <w:pStyle w:val="Ttulo2"/>
        <w:numPr>
          <w:ilvl w:val="0"/>
          <w:numId w:val="1"/>
        </w:numPr>
        <w:ind w:left="142" w:firstLine="0"/>
        <w:jc w:val="both"/>
        <w:rPr>
          <w:i/>
        </w:rPr>
      </w:pPr>
      <w:r w:rsidRPr="003836A1">
        <w:rPr>
          <w:i/>
        </w:rPr>
        <w:t>Acuerdo 637 de 2016 “Por el cual se crean el Se</w:t>
      </w:r>
      <w:r w:rsidRPr="003836A1">
        <w:rPr>
          <w:i/>
          <w:highlight w:val="white"/>
        </w:rPr>
        <w:t>ctor Administrativo de Seguridad, Convivencia y Justicia, la Secretaría Distrital de Seguridad, Convivencia y Justicia, se modifica parcialmente el Acuerdo Distrital 257 de 2006 y se dictan otras disposiciones”</w:t>
      </w:r>
    </w:p>
    <w:p w14:paraId="154A8008" w14:textId="77777777" w:rsidR="00610266" w:rsidRPr="003836A1" w:rsidRDefault="00610266" w:rsidP="003836A1">
      <w:pPr>
        <w:pStyle w:val="Ttulo2"/>
        <w:ind w:firstLine="119"/>
        <w:jc w:val="both"/>
        <w:rPr>
          <w:i/>
        </w:rPr>
      </w:pPr>
    </w:p>
    <w:p w14:paraId="154A8009"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b/>
          <w:i/>
        </w:rPr>
        <w:t>Artículo 1. Creación del sector administrativo de Seguridad, Convivencia y Justicia. </w:t>
      </w:r>
      <w:r w:rsidRPr="003836A1">
        <w:rPr>
          <w:rFonts w:ascii="Arial" w:eastAsia="Arial" w:hAnsi="Arial" w:cs="Arial"/>
          <w:i/>
        </w:rPr>
        <w:t>Créase el sector Administrativo de "Seguridad, Convivencia y Justicia, y adiciónese con este artículo el literal n) del artículo </w:t>
      </w:r>
      <w:hyperlink r:id="rId76" w:anchor="45">
        <w:r w:rsidRPr="003836A1">
          <w:rPr>
            <w:rFonts w:ascii="Arial" w:eastAsia="Arial" w:hAnsi="Arial" w:cs="Arial"/>
            <w:i/>
          </w:rPr>
          <w:t>45</w:t>
        </w:r>
      </w:hyperlink>
      <w:r w:rsidRPr="003836A1">
        <w:rPr>
          <w:rFonts w:ascii="Arial" w:eastAsia="Arial" w:hAnsi="Arial" w:cs="Arial"/>
          <w:i/>
        </w:rPr>
        <w:t> del Acuerdo Distrital 257 de 2006, el cual quedará así:</w:t>
      </w:r>
    </w:p>
    <w:p w14:paraId="154A800A" w14:textId="77777777" w:rsidR="00610266" w:rsidRPr="003836A1" w:rsidRDefault="00610266" w:rsidP="003836A1">
      <w:pPr>
        <w:shd w:val="clear" w:color="auto" w:fill="FFFFFF"/>
        <w:ind w:left="426"/>
        <w:jc w:val="both"/>
        <w:rPr>
          <w:rFonts w:ascii="Arial" w:eastAsia="Arial" w:hAnsi="Arial" w:cs="Arial"/>
          <w:i/>
        </w:rPr>
      </w:pPr>
    </w:p>
    <w:p w14:paraId="154A800B"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 n). Sector Seguridad, Convivencia y Justicia. (…)”</w:t>
      </w:r>
    </w:p>
    <w:p w14:paraId="154A800C"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 </w:t>
      </w:r>
    </w:p>
    <w:p w14:paraId="154A800D"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b/>
          <w:i/>
        </w:rPr>
        <w:t>Artículo 2. Misión del sector de Seguridad, Convivencia y Justicia. </w:t>
      </w:r>
      <w:r w:rsidRPr="003836A1">
        <w:rPr>
          <w:rFonts w:ascii="Arial" w:eastAsia="Arial" w:hAnsi="Arial" w:cs="Arial"/>
          <w:i/>
        </w:rPr>
        <w:t>El sector administrativo de Seguridad, Convivencia y Justicia tiene la misión de liderar, planear y orientar la formulación, la adopción, la ejecución, la evaluación y el seguimiento de las políticas públicas, los planes, los programas y proyectos, las acciones y las estrategias en materia de seguridad ciudadana, convivencia, acceso a la justicia, orden público, prevención del delito, las contravenciones y conflictividades, y la coordinación de los servicios de emergencias en el Distrito Capital en el marco del primer respondiente.</w:t>
      </w:r>
    </w:p>
    <w:p w14:paraId="154A800E" w14:textId="77777777" w:rsidR="00610266" w:rsidRPr="003836A1" w:rsidRDefault="00610266" w:rsidP="003836A1">
      <w:pPr>
        <w:pStyle w:val="Ttulo2"/>
        <w:ind w:left="426"/>
        <w:jc w:val="both"/>
        <w:rPr>
          <w:b w:val="0"/>
          <w:i/>
        </w:rPr>
      </w:pPr>
    </w:p>
    <w:p w14:paraId="154A800F" w14:textId="77777777" w:rsidR="00610266" w:rsidRPr="003836A1" w:rsidRDefault="00F95AB8" w:rsidP="003836A1">
      <w:pPr>
        <w:pStyle w:val="Ttulo2"/>
        <w:ind w:left="426"/>
        <w:jc w:val="both"/>
        <w:rPr>
          <w:b w:val="0"/>
          <w:i/>
        </w:rPr>
      </w:pPr>
      <w:r w:rsidRPr="003836A1">
        <w:rPr>
          <w:i/>
          <w:highlight w:val="white"/>
        </w:rPr>
        <w:t>Artículo 4. Creación de la Secretaría Distrital de Seguridad, Convivencia y Justicia</w:t>
      </w:r>
      <w:r w:rsidRPr="003836A1">
        <w:rPr>
          <w:b w:val="0"/>
          <w:i/>
          <w:highlight w:val="white"/>
        </w:rPr>
        <w:t>. Créase la Secretaría Distrital de Seguridad, Convivencia y Justicia como un organismo del sector central con autonomía administrativa y financiera, cuyo objeto consiste en orientar, liderar y ejecutar la política pública para la seguridad ciudadana, convivencia y acceso a los sistemas de justicia; la coordinación interinstitucional para mejorar las condiciones de seguridad a todos los habitantes del Distrito Capital, en sus fases de prevención, promoción, mantenimiento y restitución; el mantenimiento y la preservación del orden público en la ciudad; la articulación de los sectores administrativos de coordinación de la Administración Distrital en relación con la seguridad ciudadana y su presencia transversal en el Distrito Capital, la coordinación del Sistema Integrado de Seguridad y Emergencias NUSE 123, la integración y coordinación de los servicios de emergencia; y proporcionar bienes y servicios a las autoridades competentes, con el fin de coadyuvar en la efectividad de la seguridad y convivencia ciudadana en Bogotá D.C.</w:t>
      </w:r>
    </w:p>
    <w:p w14:paraId="154A8010" w14:textId="77777777" w:rsidR="00610266" w:rsidRPr="003836A1" w:rsidRDefault="00610266" w:rsidP="003836A1">
      <w:pPr>
        <w:pStyle w:val="Ttulo2"/>
        <w:tabs>
          <w:tab w:val="left" w:pos="830"/>
          <w:tab w:val="left" w:pos="831"/>
        </w:tabs>
        <w:ind w:left="0"/>
        <w:rPr>
          <w:i/>
        </w:rPr>
      </w:pPr>
    </w:p>
    <w:p w14:paraId="154A8011" w14:textId="77777777" w:rsidR="00610266" w:rsidRPr="003836A1" w:rsidRDefault="00F95AB8" w:rsidP="003836A1">
      <w:pPr>
        <w:pStyle w:val="Ttulo2"/>
        <w:tabs>
          <w:tab w:val="left" w:pos="830"/>
          <w:tab w:val="left" w:pos="831"/>
        </w:tabs>
        <w:ind w:left="426"/>
        <w:rPr>
          <w:i/>
          <w:highlight w:val="white"/>
        </w:rPr>
      </w:pPr>
      <w:r w:rsidRPr="003836A1">
        <w:rPr>
          <w:i/>
          <w:highlight w:val="white"/>
        </w:rPr>
        <w:t>Artículo 8</w:t>
      </w:r>
      <w:r w:rsidRPr="003836A1">
        <w:rPr>
          <w:b w:val="0"/>
          <w:i/>
          <w:highlight w:val="white"/>
        </w:rPr>
        <w:t>. Creación del Fondo Cuenta para la Seguridad. </w:t>
      </w:r>
      <w:r w:rsidRPr="003836A1">
        <w:rPr>
          <w:i/>
          <w:highlight w:val="white"/>
        </w:rPr>
        <w:t>Créase el Fondo Cuenta para la Seguridad.</w:t>
      </w:r>
    </w:p>
    <w:p w14:paraId="154A8012" w14:textId="77777777" w:rsidR="00610266" w:rsidRPr="003836A1" w:rsidRDefault="00610266" w:rsidP="003836A1">
      <w:pPr>
        <w:pStyle w:val="Ttulo2"/>
        <w:tabs>
          <w:tab w:val="left" w:pos="830"/>
          <w:tab w:val="left" w:pos="831"/>
        </w:tabs>
        <w:ind w:left="426"/>
        <w:rPr>
          <w:i/>
        </w:rPr>
      </w:pPr>
    </w:p>
    <w:p w14:paraId="154A8013" w14:textId="77777777" w:rsidR="00610266" w:rsidRPr="003836A1" w:rsidRDefault="00F95AB8" w:rsidP="003836A1">
      <w:pPr>
        <w:widowControl/>
        <w:numPr>
          <w:ilvl w:val="0"/>
          <w:numId w:val="5"/>
        </w:numPr>
        <w:pBdr>
          <w:top w:val="nil"/>
          <w:left w:val="nil"/>
          <w:bottom w:val="nil"/>
          <w:right w:val="nil"/>
          <w:between w:val="nil"/>
        </w:pBdr>
        <w:shd w:val="clear" w:color="auto" w:fill="FFFFFF"/>
        <w:ind w:left="142" w:hanging="10"/>
        <w:jc w:val="both"/>
        <w:rPr>
          <w:rFonts w:ascii="Arial" w:eastAsia="Arial" w:hAnsi="Arial" w:cs="Arial"/>
          <w:b/>
          <w:i/>
        </w:rPr>
      </w:pPr>
      <w:r w:rsidRPr="003836A1">
        <w:rPr>
          <w:rFonts w:ascii="Arial" w:eastAsia="Arial" w:hAnsi="Arial" w:cs="Arial"/>
          <w:b/>
          <w:i/>
        </w:rPr>
        <w:t>Acuerdo 376 de 2009 “Mediante el cual se establecen lineamientos para la Política Pública Distrital para la prevención del consumo de tabaco alcohol y otras sustancias psicoactivas en niños, niñas y adolescentes en Bogotá, D.C."</w:t>
      </w:r>
    </w:p>
    <w:p w14:paraId="154A8014" w14:textId="77777777" w:rsidR="00610266" w:rsidRPr="003836A1" w:rsidRDefault="00610266" w:rsidP="003836A1">
      <w:pPr>
        <w:widowControl/>
        <w:pBdr>
          <w:top w:val="nil"/>
          <w:left w:val="nil"/>
          <w:bottom w:val="nil"/>
          <w:right w:val="nil"/>
          <w:between w:val="nil"/>
        </w:pBdr>
        <w:shd w:val="clear" w:color="auto" w:fill="FFFFFF"/>
        <w:ind w:left="142"/>
        <w:jc w:val="both"/>
        <w:rPr>
          <w:rFonts w:ascii="Arial" w:eastAsia="Arial" w:hAnsi="Arial" w:cs="Arial"/>
          <w:b/>
          <w:i/>
        </w:rPr>
      </w:pPr>
    </w:p>
    <w:p w14:paraId="154A8015"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b/>
          <w:i/>
        </w:rPr>
        <w:t>Artículo 1. Objeto y Definición.</w:t>
      </w:r>
      <w:r w:rsidRPr="003836A1">
        <w:rPr>
          <w:rFonts w:ascii="Arial" w:eastAsia="Arial" w:hAnsi="Arial" w:cs="Arial"/>
          <w:i/>
        </w:rPr>
        <w:t> Establecer directrices para la elaboración de la Política Pública Distrital de prevención integral del consumo de tabaco, alcohol y otras sustancias psicoactivas en niños, niñas y adolescentes en Bogotá, D.C.</w:t>
      </w:r>
    </w:p>
    <w:p w14:paraId="154A8016" w14:textId="77777777" w:rsidR="00610266" w:rsidRPr="003836A1" w:rsidRDefault="00610266" w:rsidP="003836A1">
      <w:pPr>
        <w:shd w:val="clear" w:color="auto" w:fill="FFFFFF"/>
        <w:jc w:val="both"/>
        <w:rPr>
          <w:rFonts w:ascii="Arial" w:eastAsia="Arial" w:hAnsi="Arial" w:cs="Arial"/>
          <w:i/>
        </w:rPr>
      </w:pPr>
    </w:p>
    <w:p w14:paraId="154A8017"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Se entiende por prevención integral del consumo de sustancias psicoactivas, el diseño, implementación y evaluación de procesos que permitan promover una vida saludable y de calidad en la población, así como caracterizar, comprender, neutralizar, transformar e intervenir las causas que se asocian al uso indebido de estas drogas.</w:t>
      </w:r>
    </w:p>
    <w:p w14:paraId="154A8018" w14:textId="77777777" w:rsidR="00610266" w:rsidRPr="003836A1" w:rsidRDefault="00610266" w:rsidP="003836A1">
      <w:pPr>
        <w:shd w:val="clear" w:color="auto" w:fill="FFFFFF"/>
        <w:ind w:left="426"/>
        <w:jc w:val="both"/>
        <w:rPr>
          <w:rFonts w:ascii="Arial" w:eastAsia="Arial" w:hAnsi="Arial" w:cs="Arial"/>
          <w:b/>
          <w:i/>
        </w:rPr>
      </w:pPr>
    </w:p>
    <w:p w14:paraId="154A8019" w14:textId="77777777" w:rsidR="00610266" w:rsidRPr="003836A1" w:rsidRDefault="00F95AB8" w:rsidP="003836A1">
      <w:pPr>
        <w:widowControl/>
        <w:numPr>
          <w:ilvl w:val="0"/>
          <w:numId w:val="5"/>
        </w:numPr>
        <w:pBdr>
          <w:top w:val="nil"/>
          <w:left w:val="nil"/>
          <w:bottom w:val="nil"/>
          <w:right w:val="nil"/>
          <w:between w:val="nil"/>
        </w:pBdr>
        <w:shd w:val="clear" w:color="auto" w:fill="FFFFFF"/>
        <w:ind w:left="142" w:hanging="10"/>
        <w:jc w:val="both"/>
        <w:rPr>
          <w:rFonts w:ascii="Arial" w:eastAsia="Arial" w:hAnsi="Arial" w:cs="Arial"/>
          <w:b/>
          <w:i/>
        </w:rPr>
      </w:pPr>
      <w:r w:rsidRPr="003836A1">
        <w:rPr>
          <w:rFonts w:ascii="Arial" w:eastAsia="Arial" w:hAnsi="Arial" w:cs="Arial"/>
          <w:b/>
          <w:i/>
        </w:rPr>
        <w:t>Acuerdo 641 de 2016 “Por el cual se efectúa la reorganización del Sector Salud de Bogotá, Distrito Capital, se modifica el Acuerdo 257 de 2006 y se expiden otras disposiciones.”</w:t>
      </w:r>
    </w:p>
    <w:p w14:paraId="154A801A" w14:textId="77777777" w:rsidR="00610266" w:rsidRPr="003836A1" w:rsidRDefault="00610266" w:rsidP="003836A1">
      <w:pPr>
        <w:widowControl/>
        <w:pBdr>
          <w:top w:val="nil"/>
          <w:left w:val="nil"/>
          <w:bottom w:val="nil"/>
          <w:right w:val="nil"/>
          <w:between w:val="nil"/>
        </w:pBdr>
        <w:shd w:val="clear" w:color="auto" w:fill="FFFFFF"/>
        <w:ind w:left="142"/>
        <w:jc w:val="both"/>
        <w:rPr>
          <w:rFonts w:ascii="Arial" w:eastAsia="Arial" w:hAnsi="Arial" w:cs="Arial"/>
          <w:b/>
          <w:i/>
        </w:rPr>
      </w:pPr>
    </w:p>
    <w:p w14:paraId="154A801B"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b/>
          <w:i/>
        </w:rPr>
        <w:t>Artículo 33</w:t>
      </w:r>
      <w:r w:rsidRPr="003836A1">
        <w:rPr>
          <w:rFonts w:ascii="Arial" w:eastAsia="Arial" w:hAnsi="Arial" w:cs="Arial"/>
          <w:i/>
        </w:rPr>
        <w:t>. Naturaleza, objeto y funciones básicas de la Secretaría Distrital de Salud. La Secretaría Distrital de Salud es un organismo del Sector Central con autonomía administrativa y financiera que tiene por objeto orientar y liderar la formulación, adecuación, adopción e implementación de políticas, planes, programas, proyectos y estrategias conducentes a garantizar el derecho a la salud de los habitantes del Distrito Capital.</w:t>
      </w:r>
    </w:p>
    <w:p w14:paraId="154A801C"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i/>
        </w:rPr>
      </w:pPr>
    </w:p>
    <w:p w14:paraId="154A801D"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i/>
        </w:rPr>
        <w:t>Como organismo rector de la salud ejerce su función de dirección, coordinación, vigilancia y control de la salud pública en general del Sistema General de Seguridad Social y del régimen de excepción, en particular.</w:t>
      </w:r>
    </w:p>
    <w:p w14:paraId="154A801E"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i/>
        </w:rPr>
      </w:pPr>
    </w:p>
    <w:p w14:paraId="154A801F"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i/>
        </w:rPr>
        <w:t>Además de las atribuciones generales establecidas en el Acuerdo </w:t>
      </w:r>
      <w:hyperlink r:id="rId77" w:anchor="0">
        <w:r w:rsidRPr="003836A1">
          <w:rPr>
            <w:rFonts w:ascii="Arial" w:eastAsia="Arial" w:hAnsi="Arial" w:cs="Arial"/>
            <w:i/>
            <w:u w:val="single"/>
          </w:rPr>
          <w:t>257</w:t>
        </w:r>
      </w:hyperlink>
      <w:r w:rsidRPr="003836A1">
        <w:rPr>
          <w:rFonts w:ascii="Arial" w:eastAsia="Arial" w:hAnsi="Arial" w:cs="Arial"/>
          <w:i/>
        </w:rPr>
        <w:t> de 2006 para las secretarías, la Secretaría Distrital de Salud tiene las siguientes funciones:</w:t>
      </w:r>
    </w:p>
    <w:p w14:paraId="154A8020"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i/>
        </w:rPr>
      </w:pPr>
    </w:p>
    <w:p w14:paraId="154A8021" w14:textId="77777777" w:rsidR="00610266" w:rsidRPr="003836A1" w:rsidRDefault="00F95AB8" w:rsidP="003836A1">
      <w:pPr>
        <w:widowControl/>
        <w:pBdr>
          <w:top w:val="nil"/>
          <w:left w:val="nil"/>
          <w:bottom w:val="nil"/>
          <w:right w:val="nil"/>
          <w:between w:val="nil"/>
        </w:pBdr>
        <w:shd w:val="clear" w:color="auto" w:fill="FFFFFF"/>
        <w:ind w:left="426"/>
        <w:jc w:val="both"/>
        <w:rPr>
          <w:rFonts w:ascii="Arial" w:eastAsia="Arial" w:hAnsi="Arial" w:cs="Arial"/>
          <w:i/>
        </w:rPr>
      </w:pPr>
      <w:r w:rsidRPr="003836A1">
        <w:rPr>
          <w:rFonts w:ascii="Arial" w:eastAsia="Arial" w:hAnsi="Arial" w:cs="Arial"/>
          <w:i/>
        </w:rPr>
        <w:t>a). Formular, ejecutar y evaluar las políticas, estrategias, planes, programas y proyectos del sector salud y del Sistema General de Seguridad Social en Salud de conformidad con las disposiciones legales.</w:t>
      </w:r>
    </w:p>
    <w:p w14:paraId="154A8022" w14:textId="77777777" w:rsidR="00610266" w:rsidRPr="003836A1" w:rsidRDefault="00610266" w:rsidP="003836A1">
      <w:pPr>
        <w:widowControl/>
        <w:pBdr>
          <w:top w:val="nil"/>
          <w:left w:val="nil"/>
          <w:bottom w:val="nil"/>
          <w:right w:val="nil"/>
          <w:between w:val="nil"/>
        </w:pBdr>
        <w:shd w:val="clear" w:color="auto" w:fill="FFFFFF"/>
        <w:ind w:left="426"/>
        <w:jc w:val="both"/>
        <w:rPr>
          <w:rFonts w:ascii="Arial" w:eastAsia="Arial" w:hAnsi="Arial" w:cs="Arial"/>
          <w:i/>
        </w:rPr>
      </w:pPr>
    </w:p>
    <w:p w14:paraId="154A8023"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c). Vigilar y controlar el cumplimiento de las políticas y normas técnicas, científicas y administrativas que expida el Ministerio de Salud y Protección Social, para garantizar el logro de las metas del sector salud y del Sistema General de Seguridad Social en Salud, sin perjuicio de las funciones de inspección, vigilancia y control atribuidas a las demás autoridades competentes.</w:t>
      </w:r>
    </w:p>
    <w:p w14:paraId="154A8024" w14:textId="77777777" w:rsidR="00610266" w:rsidRPr="003836A1" w:rsidRDefault="00610266" w:rsidP="003836A1">
      <w:pPr>
        <w:shd w:val="clear" w:color="auto" w:fill="FFFFFF"/>
        <w:ind w:left="426"/>
        <w:jc w:val="both"/>
        <w:rPr>
          <w:rFonts w:ascii="Arial" w:eastAsia="Arial" w:hAnsi="Arial" w:cs="Arial"/>
          <w:i/>
        </w:rPr>
      </w:pPr>
    </w:p>
    <w:p w14:paraId="154A8025"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f). Realizar las funciones de inspección, vigilancia y control en salud pública, aseguramiento y prestación del servicio de salud.</w:t>
      </w:r>
    </w:p>
    <w:p w14:paraId="154A8026"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 </w:t>
      </w:r>
    </w:p>
    <w:p w14:paraId="154A8027"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g). Formular y ejecutar el plan de intervenciones colectivas y coordinar con los sectores y la comunidad las acciones que en salud pública se realicen para mejorar las condiciones de calidad de vida y salud de la población.</w:t>
      </w:r>
    </w:p>
    <w:p w14:paraId="154A8028"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 </w:t>
      </w:r>
    </w:p>
    <w:p w14:paraId="154A8029"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h). Coordinar, supervisar y controlar las acciones de salud pública que realicen en su jurisdicción las Entidades Promotoras de Salud - EPS, las entidades transformadas y adaptadas y aquellas que hacen parte de los regímenes exceptuados y especiales, así como las Instituciones Prestadoras de Servicios de Salud - IPS e instituciones relacionadas.</w:t>
      </w:r>
    </w:p>
    <w:p w14:paraId="154A802A"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 </w:t>
      </w:r>
    </w:p>
    <w:p w14:paraId="154A802B"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i). Promover el aseguramiento de toda la población con énfasis en la población más pobre y vulnerable, al Sistema General de Seguridad Social en salud de acuerdo con lo establecido en el ordenamiento jurídico.</w:t>
      </w:r>
    </w:p>
    <w:p w14:paraId="154A802C" w14:textId="77777777" w:rsidR="00610266" w:rsidRPr="003836A1" w:rsidRDefault="00610266" w:rsidP="003836A1">
      <w:pPr>
        <w:pStyle w:val="Ttulo2"/>
        <w:tabs>
          <w:tab w:val="left" w:pos="830"/>
          <w:tab w:val="left" w:pos="831"/>
        </w:tabs>
        <w:ind w:left="0"/>
        <w:rPr>
          <w:i/>
        </w:rPr>
      </w:pPr>
    </w:p>
    <w:p w14:paraId="154A802D" w14:textId="77777777" w:rsidR="00610266" w:rsidRPr="003836A1" w:rsidRDefault="00610266" w:rsidP="003836A1">
      <w:pPr>
        <w:pStyle w:val="Ttulo2"/>
        <w:tabs>
          <w:tab w:val="left" w:pos="830"/>
          <w:tab w:val="left" w:pos="831"/>
        </w:tabs>
        <w:ind w:left="0"/>
        <w:rPr>
          <w:i/>
        </w:rPr>
      </w:pPr>
    </w:p>
    <w:p w14:paraId="154A802E" w14:textId="77777777" w:rsidR="00610266" w:rsidRPr="003836A1" w:rsidRDefault="00F95AB8" w:rsidP="003836A1">
      <w:pPr>
        <w:pStyle w:val="Ttulo2"/>
        <w:numPr>
          <w:ilvl w:val="0"/>
          <w:numId w:val="1"/>
        </w:numPr>
        <w:ind w:left="142" w:firstLine="0"/>
        <w:jc w:val="both"/>
        <w:rPr>
          <w:i/>
        </w:rPr>
      </w:pPr>
      <w:r w:rsidRPr="003836A1">
        <w:rPr>
          <w:i/>
        </w:rPr>
        <w:t>Acuerdo 735 de 2019 “</w:t>
      </w:r>
      <w:r w:rsidRPr="003836A1">
        <w:rPr>
          <w:i/>
          <w:highlight w:val="white"/>
        </w:rPr>
        <w:t>Por el cual se dictan normas sobre competencias y atribuciones de las Autoridades Distritales de Policía, se modifican los Acuerdos Distritales </w:t>
      </w:r>
      <w:hyperlink r:id="rId78">
        <w:r w:rsidRPr="003836A1">
          <w:rPr>
            <w:i/>
          </w:rPr>
          <w:t>79</w:t>
        </w:r>
      </w:hyperlink>
      <w:r w:rsidRPr="003836A1">
        <w:rPr>
          <w:i/>
          <w:highlight w:val="white"/>
        </w:rPr>
        <w:t> de 2003, </w:t>
      </w:r>
      <w:hyperlink r:id="rId79">
        <w:r w:rsidRPr="003836A1">
          <w:rPr>
            <w:i/>
          </w:rPr>
          <w:t>257</w:t>
        </w:r>
      </w:hyperlink>
      <w:r w:rsidRPr="003836A1">
        <w:rPr>
          <w:i/>
          <w:highlight w:val="white"/>
        </w:rPr>
        <w:t> de 2006, </w:t>
      </w:r>
      <w:hyperlink r:id="rId80">
        <w:r w:rsidRPr="003836A1">
          <w:rPr>
            <w:i/>
          </w:rPr>
          <w:t>637</w:t>
        </w:r>
      </w:hyperlink>
      <w:r w:rsidRPr="003836A1">
        <w:rPr>
          <w:i/>
          <w:highlight w:val="white"/>
        </w:rPr>
        <w:t> de 2016, y se dictan otras disposiciones”</w:t>
      </w:r>
      <w:r w:rsidRPr="003836A1">
        <w:rPr>
          <w:b w:val="0"/>
          <w:i/>
          <w:highlight w:val="white"/>
        </w:rPr>
        <w:t xml:space="preserve"> </w:t>
      </w:r>
    </w:p>
    <w:p w14:paraId="154A802F" w14:textId="77777777" w:rsidR="00610266" w:rsidRPr="003836A1" w:rsidRDefault="00610266" w:rsidP="003836A1">
      <w:pPr>
        <w:pStyle w:val="Ttulo2"/>
        <w:ind w:firstLine="119"/>
        <w:jc w:val="both"/>
        <w:rPr>
          <w:i/>
        </w:rPr>
      </w:pPr>
    </w:p>
    <w:p w14:paraId="154A8030"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b/>
          <w:i/>
        </w:rPr>
        <w:t>Artículo</w:t>
      </w:r>
      <w:r w:rsidRPr="003836A1">
        <w:rPr>
          <w:rFonts w:ascii="Arial" w:eastAsia="Arial" w:hAnsi="Arial" w:cs="Arial"/>
          <w:i/>
        </w:rPr>
        <w:t> </w:t>
      </w:r>
      <w:r w:rsidRPr="003836A1">
        <w:rPr>
          <w:rFonts w:ascii="Arial" w:eastAsia="Arial" w:hAnsi="Arial" w:cs="Arial"/>
          <w:b/>
          <w:i/>
        </w:rPr>
        <w:t>1.- Objeto.</w:t>
      </w:r>
      <w:r w:rsidRPr="003836A1">
        <w:rPr>
          <w:rFonts w:ascii="Arial" w:eastAsia="Arial" w:hAnsi="Arial" w:cs="Arial"/>
          <w:i/>
        </w:rPr>
        <w:t> Establecer competencias y atribuciones a las Autoridades Distritales de Policía, en el marco de las disposiciones contenidas en el </w:t>
      </w:r>
      <w:hyperlink r:id="rId81">
        <w:r w:rsidRPr="003836A1">
          <w:rPr>
            <w:rFonts w:ascii="Arial" w:eastAsia="Arial" w:hAnsi="Arial" w:cs="Arial"/>
            <w:i/>
          </w:rPr>
          <w:t>Código Nacional de Policía y Convivencia</w:t>
        </w:r>
      </w:hyperlink>
      <w:r w:rsidRPr="003836A1">
        <w:rPr>
          <w:rFonts w:ascii="Arial" w:eastAsia="Arial" w:hAnsi="Arial" w:cs="Arial"/>
          <w:i/>
        </w:rPr>
        <w:t>.</w:t>
      </w:r>
    </w:p>
    <w:p w14:paraId="154A8031"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 </w:t>
      </w:r>
    </w:p>
    <w:p w14:paraId="154A8032"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b/>
          <w:i/>
        </w:rPr>
        <w:t>Artículo</w:t>
      </w:r>
      <w:r w:rsidRPr="003836A1">
        <w:rPr>
          <w:rFonts w:ascii="Arial" w:eastAsia="Arial" w:hAnsi="Arial" w:cs="Arial"/>
          <w:i/>
        </w:rPr>
        <w:t> </w:t>
      </w:r>
      <w:r w:rsidRPr="003836A1">
        <w:rPr>
          <w:rFonts w:ascii="Arial" w:eastAsia="Arial" w:hAnsi="Arial" w:cs="Arial"/>
          <w:b/>
          <w:i/>
        </w:rPr>
        <w:t>2.- Autoridades Distritales de Policía.</w:t>
      </w:r>
      <w:r w:rsidRPr="003836A1">
        <w:rPr>
          <w:rFonts w:ascii="Arial" w:eastAsia="Arial" w:hAnsi="Arial" w:cs="Arial"/>
          <w:i/>
        </w:rPr>
        <w:t> Las Autoridades Distritales de Policía son:</w:t>
      </w:r>
    </w:p>
    <w:p w14:paraId="154A8033"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 </w:t>
      </w:r>
    </w:p>
    <w:p w14:paraId="154A8034"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1. El Alcalde Mayor de Bogotá.</w:t>
      </w:r>
    </w:p>
    <w:p w14:paraId="154A8035"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2. Los Alcaldes Locales.</w:t>
      </w:r>
    </w:p>
    <w:p w14:paraId="154A8036"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3. Los Inspectores y Corregidores Distritales de Policía.</w:t>
      </w:r>
    </w:p>
    <w:p w14:paraId="154A8037"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4. Las Autoridades Administrativas Especiales de Policía.</w:t>
      </w:r>
    </w:p>
    <w:p w14:paraId="154A8038" w14:textId="77777777" w:rsidR="00610266" w:rsidRPr="003836A1" w:rsidRDefault="00F95AB8" w:rsidP="003836A1">
      <w:pPr>
        <w:widowControl/>
        <w:shd w:val="clear" w:color="auto" w:fill="FFFFFF"/>
        <w:ind w:left="709"/>
        <w:jc w:val="both"/>
        <w:rPr>
          <w:rFonts w:ascii="Arial" w:eastAsia="Arial" w:hAnsi="Arial" w:cs="Arial"/>
          <w:i/>
        </w:rPr>
      </w:pPr>
      <w:r w:rsidRPr="003836A1">
        <w:rPr>
          <w:rFonts w:ascii="Arial" w:eastAsia="Arial" w:hAnsi="Arial" w:cs="Arial"/>
          <w:i/>
        </w:rPr>
        <w:t>5. Los Comandantes de Estación, Subestación y de los Centros de Atención Inmediata de la Policía y demás personal uniformado de la Policía Metropolitana.</w:t>
      </w:r>
    </w:p>
    <w:p w14:paraId="154A8039"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i/>
        </w:rPr>
        <w:t> </w:t>
      </w:r>
    </w:p>
    <w:p w14:paraId="154A803A" w14:textId="77777777" w:rsidR="00610266" w:rsidRPr="003836A1" w:rsidRDefault="00F95AB8" w:rsidP="003836A1">
      <w:pPr>
        <w:widowControl/>
        <w:shd w:val="clear" w:color="auto" w:fill="FFFFFF"/>
        <w:ind w:left="426"/>
        <w:jc w:val="both"/>
        <w:rPr>
          <w:rFonts w:ascii="Arial" w:eastAsia="Arial" w:hAnsi="Arial" w:cs="Arial"/>
          <w:i/>
        </w:rPr>
      </w:pPr>
      <w:r w:rsidRPr="003836A1">
        <w:rPr>
          <w:rFonts w:ascii="Arial" w:eastAsia="Arial" w:hAnsi="Arial" w:cs="Arial"/>
          <w:b/>
          <w:i/>
        </w:rPr>
        <w:t>Parágrafo.</w:t>
      </w:r>
      <w:r w:rsidRPr="003836A1">
        <w:rPr>
          <w:rFonts w:ascii="Arial" w:eastAsia="Arial" w:hAnsi="Arial" w:cs="Arial"/>
          <w:i/>
        </w:rPr>
        <w:t> Los funcionarios y entidades competentes del Distrito Capital y los miembros de la Policía Metropolitana de Bogotá, D.C. ejercerán la autoridad de Policía, de conformidad con sus funciones y bajo la dirección del Alcalde Mayor de Bogotá.</w:t>
      </w:r>
    </w:p>
    <w:p w14:paraId="154A803B" w14:textId="77777777" w:rsidR="00610266" w:rsidRPr="003836A1" w:rsidRDefault="00610266" w:rsidP="003836A1">
      <w:pPr>
        <w:pStyle w:val="Ttulo2"/>
        <w:ind w:left="426"/>
        <w:rPr>
          <w:i/>
        </w:rPr>
      </w:pPr>
    </w:p>
    <w:p w14:paraId="154A803C"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b/>
          <w:i/>
        </w:rPr>
        <w:t>Artículo</w:t>
      </w:r>
      <w:r w:rsidRPr="003836A1">
        <w:rPr>
          <w:rFonts w:ascii="Arial" w:eastAsia="Arial" w:hAnsi="Arial" w:cs="Arial"/>
          <w:i/>
        </w:rPr>
        <w:t> </w:t>
      </w:r>
      <w:r w:rsidRPr="003836A1">
        <w:rPr>
          <w:rFonts w:ascii="Arial" w:eastAsia="Arial" w:hAnsi="Arial" w:cs="Arial"/>
          <w:b/>
          <w:i/>
        </w:rPr>
        <w:t>12.- Secretaría Distrital de Seguridad Convivencia y Justicia.</w:t>
      </w:r>
      <w:r w:rsidRPr="003836A1">
        <w:rPr>
          <w:rFonts w:ascii="Arial" w:eastAsia="Arial" w:hAnsi="Arial" w:cs="Arial"/>
          <w:i/>
        </w:rPr>
        <w:t> Adiciónese el literal </w:t>
      </w:r>
      <w:hyperlink r:id="rId82" w:anchor="5.l.y">
        <w:r w:rsidRPr="003836A1">
          <w:rPr>
            <w:rFonts w:ascii="Arial" w:eastAsia="Arial" w:hAnsi="Arial" w:cs="Arial"/>
            <w:i/>
          </w:rPr>
          <w:t>Y</w:t>
        </w:r>
      </w:hyperlink>
      <w:r w:rsidRPr="003836A1">
        <w:rPr>
          <w:rFonts w:ascii="Arial" w:eastAsia="Arial" w:hAnsi="Arial" w:cs="Arial"/>
          <w:i/>
        </w:rPr>
        <w:t xml:space="preserve"> al artículo 5 del Acuerdo Distrital 637 de 2016, el cual quedará así: </w:t>
      </w:r>
    </w:p>
    <w:p w14:paraId="154A803D" w14:textId="77777777" w:rsidR="00610266" w:rsidRPr="003836A1" w:rsidRDefault="00610266" w:rsidP="003836A1">
      <w:pPr>
        <w:shd w:val="clear" w:color="auto" w:fill="FFFFFF"/>
        <w:ind w:left="426"/>
        <w:jc w:val="both"/>
        <w:rPr>
          <w:rFonts w:ascii="Arial" w:eastAsia="Arial" w:hAnsi="Arial" w:cs="Arial"/>
          <w:i/>
        </w:rPr>
      </w:pPr>
    </w:p>
    <w:p w14:paraId="154A803E" w14:textId="77777777" w:rsidR="00610266" w:rsidRPr="003836A1" w:rsidRDefault="00F95AB8" w:rsidP="003836A1">
      <w:pPr>
        <w:shd w:val="clear" w:color="auto" w:fill="FFFFFF"/>
        <w:ind w:left="426"/>
        <w:jc w:val="both"/>
        <w:rPr>
          <w:rFonts w:ascii="Arial" w:eastAsia="Arial" w:hAnsi="Arial" w:cs="Arial"/>
          <w:i/>
        </w:rPr>
      </w:pPr>
      <w:r w:rsidRPr="003836A1">
        <w:rPr>
          <w:rFonts w:ascii="Arial" w:eastAsia="Arial" w:hAnsi="Arial" w:cs="Arial"/>
          <w:i/>
        </w:rPr>
        <w:t>(…) Y. Conocer, dar trámite y decidir del recurso de apelación de las decisiones que profieran los Inspectores y Corregidores Distritales de Policía, respecto de los comportamientos contrarios a la convivencia en los siguientes asuntos:</w:t>
      </w:r>
    </w:p>
    <w:p w14:paraId="154A803F"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 </w:t>
      </w:r>
    </w:p>
    <w:p w14:paraId="154A8040"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1. Comportamientos que ponen en riesgo la vida e integridad.</w:t>
      </w:r>
    </w:p>
    <w:p w14:paraId="154A8041"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 </w:t>
      </w:r>
    </w:p>
    <w:p w14:paraId="154A8042"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2. Comportamientos que afectan la tranquilidad y relaciones respetuosas de las personas.</w:t>
      </w:r>
    </w:p>
    <w:p w14:paraId="154A8043"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 </w:t>
      </w:r>
    </w:p>
    <w:p w14:paraId="154A8044"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3. Comportamientos que afectan las relaciones entre las personas y las autoridades.</w:t>
      </w:r>
    </w:p>
    <w:p w14:paraId="154A8045"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 </w:t>
      </w:r>
    </w:p>
    <w:p w14:paraId="154A8046" w14:textId="77777777" w:rsidR="00610266" w:rsidRPr="003836A1" w:rsidRDefault="00F95AB8" w:rsidP="003836A1">
      <w:pPr>
        <w:shd w:val="clear" w:color="auto" w:fill="FFFFFF"/>
        <w:ind w:left="709"/>
        <w:jc w:val="both"/>
        <w:rPr>
          <w:rFonts w:ascii="Arial" w:eastAsia="Arial" w:hAnsi="Arial" w:cs="Arial"/>
          <w:i/>
        </w:rPr>
      </w:pPr>
      <w:r w:rsidRPr="003836A1">
        <w:rPr>
          <w:rFonts w:ascii="Arial" w:eastAsia="Arial" w:hAnsi="Arial" w:cs="Arial"/>
          <w:i/>
        </w:rPr>
        <w:t>4. Comportamientos que afectan la seguridad de las personas y sus bienes relacionados con equipos terminales móviles.</w:t>
      </w:r>
    </w:p>
    <w:p w14:paraId="154A8047" w14:textId="77777777" w:rsidR="00610266" w:rsidRPr="003836A1" w:rsidRDefault="00610266" w:rsidP="003836A1">
      <w:pPr>
        <w:pStyle w:val="Ttulo2"/>
        <w:ind w:left="0"/>
        <w:rPr>
          <w:i/>
        </w:rPr>
      </w:pPr>
    </w:p>
    <w:p w14:paraId="154A8048" w14:textId="77777777" w:rsidR="00610266" w:rsidRPr="003836A1" w:rsidRDefault="00610266" w:rsidP="003836A1">
      <w:pPr>
        <w:rPr>
          <w:rFonts w:ascii="Arial" w:eastAsia="Arial" w:hAnsi="Arial" w:cs="Arial"/>
          <w:b/>
          <w:i/>
        </w:rPr>
      </w:pPr>
    </w:p>
    <w:p w14:paraId="154A8049" w14:textId="77777777" w:rsidR="00D37A6F" w:rsidRPr="003836A1" w:rsidRDefault="00D37A6F" w:rsidP="003836A1">
      <w:pPr>
        <w:pStyle w:val="Prrafodelista"/>
        <w:numPr>
          <w:ilvl w:val="0"/>
          <w:numId w:val="16"/>
        </w:numPr>
        <w:rPr>
          <w:rFonts w:ascii="Arial" w:eastAsia="Arial" w:hAnsi="Arial" w:cs="Arial"/>
          <w:b/>
          <w:i/>
        </w:rPr>
      </w:pPr>
      <w:r w:rsidRPr="003836A1">
        <w:rPr>
          <w:rFonts w:ascii="Arial" w:eastAsia="Arial" w:hAnsi="Arial" w:cs="Arial"/>
          <w:b/>
          <w:i/>
        </w:rPr>
        <w:t xml:space="preserve">Acuerdo 927 de 2024 “Por medio del cual se adopta el Plan de Desarrollo Económico, Social, Ambiental y de Obras Públicas del Distrito Capital 2024-2027 “Bogotá Camina Segura”. </w:t>
      </w:r>
    </w:p>
    <w:p w14:paraId="154A804A" w14:textId="77777777" w:rsidR="00D37A6F" w:rsidRPr="003836A1" w:rsidRDefault="00D37A6F" w:rsidP="003836A1">
      <w:pPr>
        <w:rPr>
          <w:rFonts w:ascii="Arial" w:eastAsia="Arial" w:hAnsi="Arial" w:cs="Arial"/>
          <w:b/>
          <w:i/>
        </w:rPr>
      </w:pPr>
    </w:p>
    <w:p w14:paraId="154A804B" w14:textId="77777777" w:rsidR="00BD446C" w:rsidRPr="003836A1" w:rsidRDefault="00BD446C" w:rsidP="003836A1">
      <w:pPr>
        <w:widowControl/>
        <w:shd w:val="clear" w:color="auto" w:fill="FFFFFF"/>
        <w:jc w:val="both"/>
        <w:rPr>
          <w:rFonts w:ascii="Arial" w:eastAsia="Times New Roman" w:hAnsi="Arial" w:cs="Arial"/>
          <w:lang w:val="es-CO"/>
        </w:rPr>
      </w:pPr>
      <w:r w:rsidRPr="003836A1">
        <w:rPr>
          <w:rFonts w:ascii="Arial" w:eastAsia="Times New Roman" w:hAnsi="Arial" w:cs="Arial"/>
          <w:b/>
          <w:bCs/>
        </w:rPr>
        <w:t>Artículo</w:t>
      </w:r>
      <w:r w:rsidRPr="003836A1">
        <w:rPr>
          <w:rFonts w:ascii="Arial" w:eastAsia="Times New Roman" w:hAnsi="Arial" w:cs="Arial"/>
          <w:lang w:val="es-CO"/>
        </w:rPr>
        <w:t> </w:t>
      </w:r>
      <w:r w:rsidRPr="003836A1">
        <w:rPr>
          <w:rFonts w:ascii="Arial" w:eastAsia="Times New Roman" w:hAnsi="Arial" w:cs="Arial"/>
          <w:b/>
          <w:bCs/>
        </w:rPr>
        <w:t>5. Objetivos estratégicos. </w:t>
      </w:r>
      <w:r w:rsidRPr="003836A1">
        <w:rPr>
          <w:rFonts w:ascii="Arial" w:eastAsia="Times New Roman" w:hAnsi="Arial" w:cs="Arial"/>
        </w:rPr>
        <w:t>El presente plan se estructura en torno a los siguientes objetivos estratégicos:</w:t>
      </w:r>
    </w:p>
    <w:p w14:paraId="154A804C" w14:textId="77777777" w:rsidR="00BD446C" w:rsidRPr="003836A1" w:rsidRDefault="00BD446C" w:rsidP="003836A1">
      <w:pPr>
        <w:widowControl/>
        <w:shd w:val="clear" w:color="auto" w:fill="FFFFFF"/>
        <w:jc w:val="both"/>
        <w:rPr>
          <w:rFonts w:ascii="Arial" w:eastAsia="Times New Roman" w:hAnsi="Arial" w:cs="Arial"/>
          <w:lang w:val="es-CO"/>
        </w:rPr>
      </w:pPr>
      <w:r w:rsidRPr="003836A1">
        <w:rPr>
          <w:rFonts w:ascii="Arial" w:eastAsia="Times New Roman" w:hAnsi="Arial" w:cs="Arial"/>
          <w:b/>
          <w:bCs/>
        </w:rPr>
        <w:t> </w:t>
      </w:r>
    </w:p>
    <w:p w14:paraId="154A804D" w14:textId="77777777" w:rsidR="00BD446C" w:rsidRPr="003836A1" w:rsidRDefault="00BD446C" w:rsidP="003836A1">
      <w:pPr>
        <w:widowControl/>
        <w:shd w:val="clear" w:color="auto" w:fill="FFFFFF"/>
        <w:jc w:val="both"/>
        <w:rPr>
          <w:rFonts w:ascii="Arial" w:eastAsia="Times New Roman" w:hAnsi="Arial" w:cs="Arial"/>
          <w:lang w:val="es-CO"/>
        </w:rPr>
      </w:pPr>
      <w:r w:rsidRPr="003836A1">
        <w:rPr>
          <w:rFonts w:ascii="Arial" w:eastAsia="Times New Roman" w:hAnsi="Arial" w:cs="Arial"/>
          <w:b/>
          <w:bCs/>
        </w:rPr>
        <w:t>5.1.</w:t>
      </w:r>
      <w:r w:rsidRPr="003836A1">
        <w:rPr>
          <w:rFonts w:ascii="Arial" w:eastAsia="Times New Roman" w:hAnsi="Arial" w:cs="Arial"/>
          <w:lang w:val="es-CO"/>
        </w:rPr>
        <w:t> </w:t>
      </w:r>
      <w:r w:rsidRPr="003836A1">
        <w:rPr>
          <w:rFonts w:ascii="Arial" w:eastAsia="Times New Roman" w:hAnsi="Arial" w:cs="Arial"/>
          <w:b/>
          <w:bCs/>
        </w:rPr>
        <w:t>Bogotá avanza en seguridad: </w:t>
      </w:r>
      <w:r w:rsidRPr="003836A1">
        <w:rPr>
          <w:rFonts w:ascii="Arial" w:eastAsia="Times New Roman" w:hAnsi="Arial" w:cs="Arial"/>
        </w:rPr>
        <w:t>Bogotá debe ser una ciudad en la que cada uno pueda vivir sin miedos, y sin necesidades, en dónde todos sus habitantes se puedan desplazar tranquilamente en los ámbitos urbano, rural y regional; disfrutar del espacio público, vivir, trabajar y soñar sin restricciones; donde especialmente las mujeres, los niños, niñas y adolescentes, las personas con discapacidad,   puedan caminar y moverse  sin sentir miedo y no haya espacio para el accionar delincuencial y violento. Para ello, se debe construir una ciudad en la que se respete la vida, la diferencia, la propiedad y donde se construyan y fortalezcan lazos de confianza y convivencia entre las personas, así como entre la ciudadanía y sus instituciones. De esta manera se garantiza el bienestar de las personas y el desarrollo del potencial de la ciudad.</w:t>
      </w:r>
    </w:p>
    <w:p w14:paraId="154A804E" w14:textId="77777777" w:rsidR="00D37A6F" w:rsidRPr="003836A1" w:rsidRDefault="00D37A6F" w:rsidP="003836A1">
      <w:pPr>
        <w:rPr>
          <w:rFonts w:ascii="Arial" w:eastAsia="Arial" w:hAnsi="Arial" w:cs="Arial"/>
          <w:b/>
          <w:i/>
        </w:rPr>
      </w:pPr>
    </w:p>
    <w:p w14:paraId="154A804F" w14:textId="77777777" w:rsidR="00BD446C" w:rsidRPr="003836A1" w:rsidRDefault="00BD446C" w:rsidP="003836A1">
      <w:pPr>
        <w:jc w:val="both"/>
        <w:rPr>
          <w:rFonts w:ascii="Arial" w:eastAsia="Arial" w:hAnsi="Arial" w:cs="Arial"/>
        </w:rPr>
      </w:pPr>
      <w:r w:rsidRPr="003836A1">
        <w:rPr>
          <w:rFonts w:ascii="Arial" w:hAnsi="Arial" w:cs="Arial"/>
          <w:b/>
          <w:bCs/>
          <w:shd w:val="clear" w:color="auto" w:fill="FFFFFF"/>
        </w:rPr>
        <w:t>Artículo</w:t>
      </w:r>
      <w:r w:rsidRPr="003836A1">
        <w:rPr>
          <w:rFonts w:ascii="Arial" w:hAnsi="Arial" w:cs="Arial"/>
          <w:shd w:val="clear" w:color="auto" w:fill="FFFFFF"/>
        </w:rPr>
        <w:t> </w:t>
      </w:r>
      <w:r w:rsidRPr="003836A1">
        <w:rPr>
          <w:rFonts w:ascii="Arial" w:hAnsi="Arial" w:cs="Arial"/>
          <w:b/>
          <w:bCs/>
          <w:shd w:val="clear" w:color="auto" w:fill="FFFFFF"/>
        </w:rPr>
        <w:t>7. Propósito y estrategias del objetivo estratégico “Bogotá avanza en seguridad”. </w:t>
      </w:r>
      <w:r w:rsidRPr="003836A1">
        <w:rPr>
          <w:rFonts w:ascii="Arial" w:hAnsi="Arial" w:cs="Arial"/>
          <w:shd w:val="clear" w:color="auto" w:fill="FFFFFF"/>
        </w:rPr>
        <w:t>Bogotá debe ser una ciudad en la que todos sus habitantes se puedan desplazar tranquilamente en los ámbitos urbano, rural y regional; disfrutar del espacio público, y vivir, trabajar y soñar sin restricciones, en la que, de manera central, las poblaciones de especial protección (las mujeres y los niños, niñas y adolescentes, LGTBI, grupos étnicos, población con discapacidad) puedan caminar sin sentir miedo y no haya espacio para el accionar delincuencial y violento. Para ello, se debe construir una ciudad en la que se respete la vida, la diferencia, la propiedad y donde se construyan y fortalezcan lazos de confianza entre las personas, así como entre la ciudadanía y sus instituciones. De esta manera se garantiza el bienestar de las personas y el desarrollo del potencial de la ciudad. Para lograrlo, se deben construir entornos seguros que permitan la interacción de la ciudadanía sin temor a ser víctima de delitos contra la vida y el patrimonio, garantizando los derechos fundamentales, y la respuesta por parte de los organismos de seguridad y justicia ante cualquier amenaza. Así mismo, se deben promover la convivencia pacífica, la cultura ciudadana, el derecho a una vida libre de violencias y el espacio público como un lugar de encuentro seguro, limpio y accesible para la ciudadanía, para lo cual se implementarán los planes de intervención de mejoramiento integral del hábitat, desde los enfoques de integración regional, género, derechos humanos de las mujeres, derechos de los niños, niñas y adolescentes diferencial-poblacional e interseccional. Para ello, la Administración distrital desarrollará sus acciones en el marco de un modelo de seguridad fundamentado en la acción conjunta, coordinada e interagencial de sus entidades, los organismos de seguridad y justicia que operan en el ámbito distrital, en coordinación con el Gobierno Nacional, la región, el sector privado y la ciudadanía, sobre la base de la recuperación de la funcionalidad y el orden urbano, la reconstrucción del tejido social y la confianza ciudadana. Este modelo se orienta, además, por un concepto de seguridad integral, en el que se requiere una comprensión multidimensional de las dinámicas de la ciudad y los servicios que en ella se prestan para, así mismo, establecer las acciones coordinadas en procura de un entorno más seguro. El nuevo modelo de seguridad en Bogotá demanda el sostenimiento de operaciones permanentes enfocadas en el control del territorio, la protección de los espacios y las personas, así como la prevención y anticipación frente a dinámicas y fenómenos que ponen en riesgo la vida, la convivencia, los derechos y los proyectos de vida de quienes habitan Bogotá. En tal sentido, el fortalecimiento de las capacidades operativas es una acción fundamental para garantizar la operatividad de las unidades policiales y militares que contribuyen a estos objetivos, así como a un esfuerzo fundamental para alcanzar la meta de una tasa de homicidios de un dígito. Para que el ciudadano se pueda desplazar tranquilamente en la ciudad, se deben poner en marcha tres estrategias: 1) mejorar la convivencia a través de la confianza ciudadanía-instituciones, cultura ciudadana y prevención de violencias; 2) fortalecer la seguridad y justicia con tecnología, recursos humanos y articulación interinstitucional, y 3) garantizar espacios públicos seguros y en mejores condiciones. Estas estrategias se desarrollarán mediante la ejecución de seis (6) programas que buscan fortalecer las capacidades en seguridad y la lucha contra la criminalidad, así como la promoción de la convivencia ciudadana, el acceso a la justicia, la revitalización y mejoramiento del espacio público, la garantía del derecho a una vida libre de violencias y la movilidad segura. Esta visión contribuye al cumplimiento de los Objetivos de Desarrollo Sostenibles así: al ODS 3 “Salud y Bienestar” que ´propende por garantizar una vida sana y promover el bienestar para todos en todas las edades, al visibilizar el cuidado de la persona desde el enfoque de protección desde la infancia apoya al ODS 5 “Igualdad de Género”, buscando la construcción de una Bogotá que reconoce la necesidad de generar acciones que contribuyan a disminuir la brecha en el acceso a derechos entre hombres y mujeres, y a la garantía plena de sus derechos, en especial los derechos establecidos en la política pública de mujeres y equidad de género de Bogotá. El ODS 11, </w:t>
      </w:r>
      <w:r w:rsidRPr="003836A1">
        <w:rPr>
          <w:rFonts w:ascii="Arial" w:hAnsi="Arial" w:cs="Arial"/>
          <w:i/>
          <w:iCs/>
          <w:shd w:val="clear" w:color="auto" w:fill="FFFFFF"/>
        </w:rPr>
        <w:t>“Ciudades y comunidades sostenibles” </w:t>
      </w:r>
      <w:r w:rsidRPr="003836A1">
        <w:rPr>
          <w:rFonts w:ascii="Arial" w:hAnsi="Arial" w:cs="Arial"/>
          <w:shd w:val="clear" w:color="auto" w:fill="FFFFFF"/>
        </w:rPr>
        <w:t>que propone que las ciudades y los asentamientos humanos sean inclusivos, seguros, resilientes y sostenibles, y al ODS 16 “Paz, Justicia e Instituciones Sólidas”, para promover sociedades con paz, justicia, seguridad y participación.</w:t>
      </w:r>
    </w:p>
    <w:p w14:paraId="154A8050" w14:textId="77777777" w:rsidR="00BD446C" w:rsidRPr="003836A1" w:rsidRDefault="00BD446C" w:rsidP="003836A1">
      <w:pPr>
        <w:jc w:val="both"/>
        <w:rPr>
          <w:rFonts w:ascii="Arial" w:eastAsia="Arial" w:hAnsi="Arial" w:cs="Arial"/>
          <w:b/>
          <w:i/>
        </w:rPr>
      </w:pPr>
    </w:p>
    <w:p w14:paraId="154A8051" w14:textId="77777777" w:rsidR="00D37A6F" w:rsidRPr="003836A1" w:rsidRDefault="00BD446C" w:rsidP="003836A1">
      <w:pPr>
        <w:jc w:val="both"/>
        <w:rPr>
          <w:rFonts w:ascii="Arial" w:hAnsi="Arial" w:cs="Arial"/>
          <w:shd w:val="clear" w:color="auto" w:fill="FFFFFF"/>
        </w:rPr>
      </w:pPr>
      <w:r w:rsidRPr="003836A1">
        <w:rPr>
          <w:rFonts w:ascii="Arial" w:hAnsi="Arial" w:cs="Arial"/>
          <w:b/>
          <w:bCs/>
          <w:shd w:val="clear" w:color="auto" w:fill="FFFFFF"/>
        </w:rPr>
        <w:t>8.3.</w:t>
      </w:r>
      <w:r w:rsidRPr="003836A1">
        <w:rPr>
          <w:rFonts w:ascii="Arial" w:hAnsi="Arial" w:cs="Arial"/>
          <w:shd w:val="clear" w:color="auto" w:fill="FFFFFF"/>
        </w:rPr>
        <w:t> </w:t>
      </w:r>
      <w:r w:rsidRPr="003836A1">
        <w:rPr>
          <w:rFonts w:ascii="Arial" w:hAnsi="Arial" w:cs="Arial"/>
          <w:b/>
          <w:bCs/>
          <w:shd w:val="clear" w:color="auto" w:fill="FFFFFF"/>
        </w:rPr>
        <w:t>Programa 3. Desmantelamiento de estructuras criminales y delincuenciales con mejores capacidades y activos tecnológicos. </w:t>
      </w:r>
      <w:r w:rsidRPr="003836A1">
        <w:rPr>
          <w:rFonts w:ascii="Arial" w:hAnsi="Arial" w:cs="Arial"/>
          <w:shd w:val="clear" w:color="auto" w:fill="FFFFFF"/>
        </w:rPr>
        <w:t>Para lograr el debilitamiento del crimen organizado y el desmantelamiento de las estructuras criminales, Bogotá demanda una postura anticipatoria de los organismos de seguridad y justicia frente a su evolución, arraigo y desempeño. Por ello, este programa implementará esfuerzos para la documentación de dinámicas del crimen, identificación de estructuras criminales y delincuenciales, desarrollo de capacidades para su desmantelamiento y estrategias dirigidas al cierre de espacios que permitan su supervivencia. Como parte de este programa se implementarán acciones encaminadas a mitigar el mercado de estructuras criminales de hurto a celulares para el control del delito de receptación, incluyendo el énfasis de inteligencia y persecución criminal en cuanto a las rentas criminales y el lavado de activos, en coordinación con los organismos policiales, militares y judiciales dentro del marco de sus competencias. Además, el programa reconoce que, mediante el hecho metropolitano, toda la Región Metropolitana Bogotá-Cundinamarca debe coordinar y aunar esfuerzos para combatir las estructuras criminales. Además del plan interinstitucional contra las estructuras criminales que amenazan la ciudad, se implementará un modelo de operación distrital que consolide las capacidades de actuación conjunta entre el Distrito, la Policía Metropolitana de Bogotá (MEBOG) y la Brigada (BR) 13, para tener una respuesta coordinada y efectiva en entornos urbanos y rurales, aterrizándose a nivel comunitario. Para esto, se trabajará en el fortalecimiento de las capacidades operativas para la vigilancia policial y las funciones militares específicas para el Distrito, el centro de comando, control comunicaciones y cómputo (C4) de Bogotá. Este enfoque integral busca no solo optimizar la respuesta ante situaciones de seguridad, sino también asegurar el bienestar del personal, a través del Plan de Bienestar para los uniformados de la Fuerza Pública y su núcleo familiar con el objetivo de incentivar y estimular la prestación eficiente de sus servicios, y fortalecer continuamente las capacidades operativas en el ámbito policial y militar. Bajo esta misma lógica, el programa orientará recursos y acciones para hacer más eficiente el sistema de videovigilancia de Bogotá. Esto se logrará mediante estrategias de descentralización del monitoreo por parte de la policía, permitiendo una supervisión más local y específica de las diferentes áreas de la ciudad. El objetivo es focalizar y priorizar las capacidades de vídeo, garantizando que las imágenes captadas sean de la resolución adecuada y de relevancia para las necesidades de seguridad. Lo anterior, incorporando nuevas tecnologías basadas en inteligencia artificial que mejoren la administración de datos y la producción de información adecuada con la investigación criminal y la vigilancia y control para la reacción y respuesta oportuna de las autoridades competentes ante las amenazas y así garantizar la generación de zonas seguras en la ciudad que se encuentren constantemente monitoreadas. Además, el fortalecimiento del sistema de videovigilancia de Bogotá permitirá que los organismos de seguridad puedan identificar poblaciones con mayor riesgo de delitos y prácticas violentas contra la ciudadanía y la infraestructura de la ciudad, y facilitar a la MEBOG el despliegue operacional ante fenómenos delictivos. Sin olvidar la Región Metropolitana, el programa finalmente diseñará e implementará el primer Plan Integral de Seguridad, Convivencia y Justicia en el marco de la Región Metropolitana Bogotá-Cundinamarca (RMBC), teniendo en cuenta la Ley </w:t>
      </w:r>
      <w:hyperlink r:id="rId83" w:history="1">
        <w:r w:rsidRPr="003836A1">
          <w:rPr>
            <w:rStyle w:val="Hipervnculo"/>
            <w:rFonts w:ascii="Arial" w:hAnsi="Arial" w:cs="Arial"/>
            <w:color w:val="auto"/>
          </w:rPr>
          <w:t>2199</w:t>
        </w:r>
      </w:hyperlink>
      <w:r w:rsidRPr="003836A1">
        <w:rPr>
          <w:rFonts w:ascii="Arial" w:hAnsi="Arial" w:cs="Arial"/>
          <w:shd w:val="clear" w:color="auto" w:fill="FFFFFF"/>
        </w:rPr>
        <w:t> de 2022. Conseguir este propósito demanda el desarrollo de capacidades institucionales, operativas y de gestión dirigidas a garantizar la integración de visiones, esfuerzos y objetivos para la consolidación de una región metropolitana segura y confiable. Con todo lo anterior, Bogotá implementará esfuerzos para la documentación de dinámicas del crimen, identificación de estructuras criminales y delincuenciales, desarrollo de capacidades para su desmantelamiento, y estrategias dirigidas al cierre de espacios que permitan su supervivencia. La actualización de la política pública antidrogas y de prevención del consumo de sustancias psicoactivas con una dimensión urbana, teniendo en cuenta la prevención del consumo en menores de edad, así como un plan para la prevención y el desmantelamiento de redes del delito de explotación sexual y comercial de menores de edad y la implementación de la semana de la prevención de consumo de SPA en NNA</w:t>
      </w:r>
      <w:r w:rsidRPr="003836A1">
        <w:rPr>
          <w:rFonts w:ascii="Arial" w:hAnsi="Arial" w:cs="Arial"/>
          <w:b/>
          <w:bCs/>
          <w:shd w:val="clear" w:color="auto" w:fill="FFFFFF"/>
        </w:rPr>
        <w:t>. </w:t>
      </w:r>
      <w:r w:rsidRPr="003836A1">
        <w:rPr>
          <w:rFonts w:ascii="Arial" w:hAnsi="Arial" w:cs="Arial"/>
          <w:shd w:val="clear" w:color="auto" w:fill="FFFFFF"/>
        </w:rPr>
        <w:t>Desarrollar un proyecto tecnológico dentro de las estrategias de seguridad que articulen, en una estructura organizacional eficiente al gremio de taxistas, motociclistas y otros actores relevantes del transporte y movilidad. Este proyecto permitirá a la Secretaría de Seguridad Convivencia y Justicia fortalecer significativamente la prevención, reacción e investigación criminal. Para lograrlo, se fomentará la colaboración activa entre las distintas entidades, agencias y dependencias del orden distrital, asegurando que cada una opere dentro del marco de sus competencias legales y funcionales. Además, se implementarán mecanismos de comunicación y coordinación para optimizar el flujo de información y toma de decisiones, mejorando así la capacidad de respuesta ante situaciones de emergencia y criminalidad, de conformidad con el espíritu del Acuerdo </w:t>
      </w:r>
      <w:hyperlink r:id="rId84" w:history="1">
        <w:r w:rsidRPr="003836A1">
          <w:rPr>
            <w:rStyle w:val="Hipervnculo"/>
            <w:rFonts w:ascii="Arial" w:hAnsi="Arial" w:cs="Arial"/>
            <w:color w:val="auto"/>
          </w:rPr>
          <w:t>909</w:t>
        </w:r>
      </w:hyperlink>
      <w:r w:rsidRPr="003836A1">
        <w:rPr>
          <w:rFonts w:ascii="Arial" w:hAnsi="Arial" w:cs="Arial"/>
          <w:shd w:val="clear" w:color="auto" w:fill="FFFFFF"/>
        </w:rPr>
        <w:t> de 2023. El objetivo final es crear un entorno más seguro y protegido para todos los ciudadanos utilizando la tecnología como herramienta clave para la integración y eficiencia de los esfuerzos de seguridad. </w:t>
      </w:r>
    </w:p>
    <w:p w14:paraId="154A8052" w14:textId="77777777" w:rsidR="00BD446C" w:rsidRPr="003836A1" w:rsidRDefault="00BD446C" w:rsidP="003836A1">
      <w:pPr>
        <w:rPr>
          <w:rFonts w:ascii="Arial" w:hAnsi="Arial" w:cs="Arial"/>
          <w:shd w:val="clear" w:color="auto" w:fill="FFFFFF"/>
        </w:rPr>
      </w:pPr>
    </w:p>
    <w:p w14:paraId="154A8053" w14:textId="77777777" w:rsidR="00BD446C" w:rsidRPr="003836A1" w:rsidRDefault="00BD446C" w:rsidP="003836A1">
      <w:pPr>
        <w:jc w:val="both"/>
        <w:rPr>
          <w:rFonts w:ascii="Arial" w:hAnsi="Arial" w:cs="Arial"/>
          <w:shd w:val="clear" w:color="auto" w:fill="FFFFFF"/>
        </w:rPr>
      </w:pPr>
      <w:r w:rsidRPr="003836A1">
        <w:rPr>
          <w:rFonts w:ascii="Arial" w:hAnsi="Arial" w:cs="Arial"/>
          <w:b/>
          <w:bCs/>
          <w:shd w:val="clear" w:color="auto" w:fill="FFFFFF"/>
          <w:lang w:val="pt-BR"/>
        </w:rPr>
        <w:t>8.5.</w:t>
      </w:r>
      <w:r w:rsidRPr="003836A1">
        <w:rPr>
          <w:rFonts w:ascii="Arial" w:hAnsi="Arial" w:cs="Arial"/>
          <w:shd w:val="clear" w:color="auto" w:fill="FFFFFF"/>
        </w:rPr>
        <w:t> </w:t>
      </w:r>
      <w:r w:rsidRPr="003836A1">
        <w:rPr>
          <w:rFonts w:ascii="Arial" w:hAnsi="Arial" w:cs="Arial"/>
          <w:b/>
          <w:bCs/>
          <w:shd w:val="clear" w:color="auto" w:fill="FFFFFF"/>
          <w:lang w:val="pt-BR"/>
        </w:rPr>
        <w:t>Programa 5. Espacio público seguro e inclusivo.</w:t>
      </w:r>
      <w:r w:rsidRPr="003836A1">
        <w:rPr>
          <w:rFonts w:ascii="Arial" w:hAnsi="Arial" w:cs="Arial"/>
          <w:shd w:val="clear" w:color="auto" w:fill="FFFFFF"/>
          <w:lang w:val="pt-BR"/>
        </w:rPr>
        <w:t> </w:t>
      </w:r>
      <w:r w:rsidRPr="003836A1">
        <w:rPr>
          <w:rFonts w:ascii="Arial" w:hAnsi="Arial" w:cs="Arial"/>
          <w:shd w:val="clear" w:color="auto" w:fill="FFFFFF"/>
        </w:rPr>
        <w:t>El espacio público en Bogotá se entiende como un escenario fundamental para que la ciudadanía ejerza sus derechos y pueda relacionarse en sana convivencia. Desde el enfoque de seguridad integral, ello se promueve tanto a partir de la focalización de estrategias de monitoreo y control, como de la intervención para la recuperación y generación de oportunidades formales y legales para su disfrute y, en general, a partir de la implementación de acciones que propicien el goce efectivo del derecho a la ciudad. Bogotá fortalecerá las capacidades para la seguridad y la convivencia en el espacio público con miras a que la ciudadanía pueda hacer uso y disfrute de este, sin temor a amenazas o actos violentos que comprometan la vida y la libertad de los ciudadanos, con especial atención en los riesgos que enfrentan las mujeres, los niños, niñas y adolescentes. En ese sentido la administración distrital desarrollará una estrategia interagencial que permita prevenir y controlar hechos delictivos, mejorar el orden urbano y fomentar actividades que permitan el uso continuo y la apropiación de los espacios para reducir la desconfianza frente a lugares dispuestos para el disfrute de la ciudadanía, en el marco de la ley. Dicha estrategia tendrá como objetivo consolidar la presencia territorial para fomentar la confianza de la ciudadanía en la actuación de las entidades distritales y los organismos de seguridad y justicia, construir un espacio público seguro e inclusivo, y promover el ejercicio de los derechos de cada ciudadano. Con ese fin la administración desarrollará herramientas e instancias de coordinación, alianzas, capacidades y normas que contribuyan al desarrollo de los objetivos que permitirán contar con un espacio público e inclusivo. Para lo anterior se definirá un ecosistema distrital de seguridad que integre los esfuerzos de las organizaciones de seguridad, justicia, control y derechos humanos del estado, las entidades del Distrito Capital, el sector privado y redes colaborativas de seguridad. Asimismo, se diseñarán y ejecutarán planes territoriales que tengan en cuenta la atención de áreas de alta incidencia delictiva, baja percepción de seguridad y riesgos de vulneración de derechos de niños, niñas, adolescentes y jóvenes (NNAJ), mujeres, grupos étnicos e integrantes de las comunidades LGBTI, para la prevención del delito, la violencia y las incivilidades, la lucha contra el crimen y la violencia y la consolidación de la seguridad en el espacio público, en apoyo a las acciones desarrolladas por los organismos de seguridad y justicia. Estos planes serán monitoreados y evaluados en el marco de instancias de coordinación local y distrital. Se fortalecerán las capacidades de la Policía Metropolitana de Bogotá -MEBOG- para el desarrollo de actividades de policía comunitaria, vigilancia, control investigación criminal y otras que contribuyan a la construcción de un espacio público seguro e inclusivo. Como parte de este esfuerzo, la Administración Distrital impulsará la creación de una herramienta la financiación y provisión de pie de fuerza policial dedicado al servicio exclusivo de la ciudad de Bogotá, el cual estará bajo el mando de la Policía Nacional de Colombia – MEBOG, con el propósito de incrementar el pie de fuerza local de manera sostenible mediante la asignación de recursos del Distrito. Se capacitará de forma permanente a la Policía para el correcto cumplimiento de los procedimientos con el fin de proteger a los ciudadanos de la victimización por parte de actores ilegales y evitar episodios de maltrato y revictimización hacia la ciudadanía, mediante procesos de reconciliación entre habitantes y autoridad policial, fortaleciendo también las unidades de mediación para resolver conflictos de manera pacífica y descentralizada. También se implementará un modelo integrado para la gestión de la convivencia y seguridad en los territorios que respondan de forma inmediata a situaciones que afecten el disfrute del espacio público y la garantía de derechos de la ciudadanía para esto se promoverán redes colaborativas de seguridad, las cuales serán apoyadas con herramientas tecnológicas para el uso comunitario. Para el desarrollo del modelo se fortalecerá el cuerpo de gestores de seguridad, convivencia y diálogo. Adicionalmente deberá hacer una evaluación de las capacidades instaladas de Comando y Control local con el fin de proponer e implementar un plan de fortalecimiento tecnológico dirigido al mejoramiento de la coordinación de las acciones de prevención, vigilancia y control, así como la integración de actores del ecosistema local de seguridad como la policía cívica de mayores y juvenil. Para mejorar el orden y los espacios urbanos, se trabajará en la revitalización del territorio a través de proyectos urbanos integrales, actuaciones estratégicas y planes parciales en polígonos priorizados, para dotarlos de mejores condiciones sin importar su tratamiento urbanístico, y podrán incluir acciones de renovación, mejoramiento de barrios, legalización, espacio público, construcción de equipamientos, desarrollo de nuevos proyectos de vivienda con mezcla de usos, prestación de servicios públicos y trabajo comunitario impulsando la sostenibilidad ambiental y la conservación de los recursos naturales. De igual manera, se promueve la participación activa de los habitantes en la toma de decisiones y la implementación de proyectos, asegurando así, que las acciones emprendidas responden a las necesidades y expectativas de la población. Estas actuaciones se vincularán al modelo de seguridad integral y contarán con la estructuración técnica y financiera articulada con la inversión pública, mediante un esquema de anticipación de cargas urbanísticas, estudios, diseños y construcción de estos espacios públicos. En este sentido, la revitalización urbana corresponde a una estrategia de intervención que busca dotar de mejores condiciones para habitar en los barrios de la ciudad, sin importar su tratamiento urbanístico, a través de un conjunto de acciones físico-sociales, ambientales, económicas y jurídico-legales. Por otro lado, se fortalecerá la administración de los parques con la implementación de la estrategia de guardaparques, ampliaciones de horarios y el mejoramiento de su iluminación. Se realizarán intervenciones artísticas y culturales en el espacio público que busquen promover la convivencia ciudadana para fortalecer el papel del arte, la cultura y el patrimonio como derecho en la ciudad, así como también se desarrollarán programas de prevención de violencias y prevención de consumo de sustancias psicoactivas. Para la utilización del espacio público como lugar de encuentro se realizarán intervenciones con el objetivo de fortalecer la oferta de programas destinados al goce y disfrute de estos escenarios y aportar no solamente a la promoción de las prácticas artísticas y culturales, sino también a la resignificación del espacio seguro y de encuentro para las comunidades. Se realizará también la intervención de espacios patrimoniales mediante acciones de gestión y recuperación, entre las que se encuentran el enlucimiento de fachadas, el mantenimiento de monumentos ubicados en el espacio público, el mejoramiento físico de espacios públicos patrimoniales y reverdecimiento de espacios públicos. En lo relacionado con el alumbrado público, se establecerán las condiciones técnicas, financieras e institucionales que permitan la modernización y garanticen la prestación del servicio eficiente, con calidad y asequibilidad para todos los habitantes, contribuyendo a espacios más seguros. Adicionalmente, para garantizar una óptima oferta cuantitativa y cualitativa de espacio público para su uso, goce y disfrute por la ciudadanía, la Administración distrital desarrollará acciones para la eficaz defensa del espacio público, la óptima administración del patrimonio inmobiliario de la ciudad y la construcción de una nueva cultura del espacio público. Así mismo, se diseñará e implementará una estrategia para recuperar la cultura de aseo, elevando el sentido de pertenencia de la ciudadanía, la sostenibilidad de las formas de vida, el cuidado y respeto de lo público como un bien común. Se implementará una estrategia integral de entornos universitarios seguros encaminada a garantizar condiciones de seguridad y óptimo espacio público en los corredores universitarios a través de esfuerzos interinstitucionales que prevengan los delitos de alto impacto y la convivencia, haciendo un énfasis especial en la reducción de delitos de alto impacto y acoso callejero contra las comunidades educativas. Finalmente, para asegurar el aprovechamiento del espacio público para el desarrollo social, controlando las zonas en las que se evidencian los altos niveles de aglomeración de vendedores, y evitar así la percepción de inseguridad y desorden del espacio público, se implementará una estrategia para gestionar efectivamente el derecho al mínimo vital y el derecho al uso y disfrute del espacio público. En el caso de áreas rurales y de la estructura ecológica principal, la Administración impulsará esfuerzos de coordinación y respuesta focalizada para la protección del capital natural, el goce y el disfrute de los atractivos naturales a través de actividades turísticas y deportivas, en donde sea permitido de acuerdo con los instrumentos de ordenamiento y planeación ambiental. Es el caso de los Cerros Orientales de Bogotá, donde la Secretaría de Seguridad, Convivencia y Justicia coordinará con las entidades del Distrito Capital, los organismos de seguridad y justicia, el desarrollo de planes y acciones dirigidos a la atención de polígonos de riesgo de seguridad y convivencia, la prevención de éstos y su gestión. Adicionalmente, se dará cumplimiento a los fallos y/o sentencias que ordenan la organización y recuperación de los espacios que fortalezcan la economía social de la ciudad. Adicionalmente, el sector Seguridad diseñará y pondrá en funcionamiento un modelo de colaboración con el sector privado, y de manera particular con el sector de vigilancia y seguridad privadas, en el que se aborde la construcción de conocimiento, el intercambio de mejores prácticas y el reconocimiento de los distintos actores, tanto público como privados encargados de velar por la seguridad de la ciudad. Para ello la Administración diseñará y ejecutará un plan para recuperar las zonas especiales debidamente georreferenciadas de conformidad con el artículo </w:t>
      </w:r>
      <w:hyperlink r:id="rId85" w:anchor="13" w:history="1">
        <w:r w:rsidRPr="003836A1">
          <w:rPr>
            <w:rStyle w:val="Hipervnculo"/>
            <w:rFonts w:ascii="Arial" w:hAnsi="Arial" w:cs="Arial"/>
            <w:color w:val="auto"/>
          </w:rPr>
          <w:t>13</w:t>
        </w:r>
      </w:hyperlink>
      <w:r w:rsidRPr="003836A1">
        <w:rPr>
          <w:rFonts w:ascii="Arial" w:hAnsi="Arial" w:cs="Arial"/>
          <w:shd w:val="clear" w:color="auto" w:fill="FFFFFF"/>
        </w:rPr>
        <w:t> del Decreto Distrital 098 de 2004.  </w:t>
      </w:r>
    </w:p>
    <w:p w14:paraId="154A8054" w14:textId="77777777" w:rsidR="00BD446C" w:rsidRPr="003836A1" w:rsidRDefault="00BD446C" w:rsidP="003836A1">
      <w:pPr>
        <w:rPr>
          <w:rFonts w:ascii="Arial" w:hAnsi="Arial" w:cs="Arial"/>
          <w:shd w:val="clear" w:color="auto" w:fill="FFFFFF"/>
        </w:rPr>
      </w:pPr>
    </w:p>
    <w:p w14:paraId="154A8055" w14:textId="77777777" w:rsidR="00BD446C" w:rsidRPr="003836A1" w:rsidRDefault="00BD446C" w:rsidP="003836A1">
      <w:pPr>
        <w:widowControl/>
        <w:shd w:val="clear" w:color="auto" w:fill="FFFFFF"/>
        <w:jc w:val="both"/>
        <w:rPr>
          <w:rFonts w:ascii="Arial" w:eastAsia="Times New Roman" w:hAnsi="Arial" w:cs="Arial"/>
          <w:lang w:val="es-CO"/>
        </w:rPr>
      </w:pPr>
      <w:r w:rsidRPr="003836A1">
        <w:rPr>
          <w:rFonts w:ascii="Arial" w:eastAsia="Times New Roman" w:hAnsi="Arial" w:cs="Arial"/>
          <w:b/>
          <w:bCs/>
        </w:rPr>
        <w:t>Artículo</w:t>
      </w:r>
      <w:r w:rsidRPr="003836A1">
        <w:rPr>
          <w:rFonts w:ascii="Arial" w:eastAsia="Times New Roman" w:hAnsi="Arial" w:cs="Arial"/>
          <w:lang w:val="es-CO"/>
        </w:rPr>
        <w:t> </w:t>
      </w:r>
      <w:r w:rsidRPr="003836A1">
        <w:rPr>
          <w:rFonts w:ascii="Arial" w:eastAsia="Times New Roman" w:hAnsi="Arial" w:cs="Arial"/>
          <w:b/>
          <w:bCs/>
        </w:rPr>
        <w:t>19. Enfoque protección integral a la infancia y adolescencia. </w:t>
      </w:r>
      <w:r w:rsidRPr="003836A1">
        <w:rPr>
          <w:rFonts w:ascii="Arial" w:eastAsia="Times New Roman" w:hAnsi="Arial" w:cs="Arial"/>
        </w:rPr>
        <w:t>Las Entidades distritales deberán incorporar los enfoques de garantía y restablecimiento de derechos, atendiendo al ciclo de vida, en sus políticas, planes y programas y con sus recursos correspondientes, para la protección integral de la infancia y adolescencia.</w:t>
      </w:r>
    </w:p>
    <w:p w14:paraId="154A8056" w14:textId="77777777" w:rsidR="00BD446C" w:rsidRPr="003836A1" w:rsidRDefault="00BD446C" w:rsidP="003836A1">
      <w:pPr>
        <w:widowControl/>
        <w:shd w:val="clear" w:color="auto" w:fill="FFFFFF"/>
        <w:jc w:val="both"/>
        <w:rPr>
          <w:rFonts w:ascii="Arial" w:eastAsia="Times New Roman" w:hAnsi="Arial" w:cs="Arial"/>
          <w:lang w:val="es-CO"/>
        </w:rPr>
      </w:pPr>
      <w:r w:rsidRPr="003836A1">
        <w:rPr>
          <w:rFonts w:ascii="Arial" w:eastAsia="Times New Roman" w:hAnsi="Arial" w:cs="Arial"/>
        </w:rPr>
        <w:t> </w:t>
      </w:r>
    </w:p>
    <w:p w14:paraId="154A8057" w14:textId="77777777" w:rsidR="00BD446C" w:rsidRPr="003836A1" w:rsidRDefault="00BD446C" w:rsidP="003836A1">
      <w:pPr>
        <w:widowControl/>
        <w:shd w:val="clear" w:color="auto" w:fill="FFFFFF"/>
        <w:jc w:val="both"/>
        <w:rPr>
          <w:rFonts w:ascii="Arial" w:eastAsia="Times New Roman" w:hAnsi="Arial" w:cs="Arial"/>
          <w:lang w:val="es-CO"/>
        </w:rPr>
      </w:pPr>
      <w:r w:rsidRPr="003836A1">
        <w:rPr>
          <w:rFonts w:ascii="Arial" w:eastAsia="Times New Roman" w:hAnsi="Arial" w:cs="Arial"/>
        </w:rPr>
        <w:t>El Distrito Capital, a través de la Secretaría Distrital de Integración Social, en conjunto con la Secretaría Distrital de Educación, la Secretaría Distrital Salud, la Secretaría de Seguridad, Convivencia y Justicia y la Secretaría Distrital de Cultura, Recreación y Deporte adelantarán las acciones tendientes a garantizar la atención integral a la primera infancia, entornos seguros y libres de droga. Lo anterior en concordancia con los artículos </w:t>
      </w:r>
      <w:hyperlink r:id="rId86" w:anchor="7" w:history="1">
        <w:r w:rsidRPr="003836A1">
          <w:rPr>
            <w:rFonts w:ascii="Arial" w:eastAsia="Times New Roman" w:hAnsi="Arial" w:cs="Arial"/>
            <w:u w:val="single"/>
          </w:rPr>
          <w:t>7</w:t>
        </w:r>
      </w:hyperlink>
      <w:r w:rsidRPr="003836A1">
        <w:rPr>
          <w:rFonts w:ascii="Arial" w:eastAsia="Times New Roman" w:hAnsi="Arial" w:cs="Arial"/>
        </w:rPr>
        <w:t>, </w:t>
      </w:r>
      <w:hyperlink r:id="rId87" w:anchor="29" w:history="1">
        <w:r w:rsidRPr="003836A1">
          <w:rPr>
            <w:rFonts w:ascii="Arial" w:eastAsia="Times New Roman" w:hAnsi="Arial" w:cs="Arial"/>
            <w:u w:val="single"/>
          </w:rPr>
          <w:t>29</w:t>
        </w:r>
      </w:hyperlink>
      <w:r w:rsidRPr="003836A1">
        <w:rPr>
          <w:rFonts w:ascii="Arial" w:eastAsia="Times New Roman" w:hAnsi="Arial" w:cs="Arial"/>
        </w:rPr>
        <w:t> y </w:t>
      </w:r>
      <w:hyperlink r:id="rId88" w:anchor="207" w:history="1">
        <w:r w:rsidRPr="003836A1">
          <w:rPr>
            <w:rFonts w:ascii="Arial" w:eastAsia="Times New Roman" w:hAnsi="Arial" w:cs="Arial"/>
            <w:u w:val="single"/>
          </w:rPr>
          <w:t>207</w:t>
        </w:r>
      </w:hyperlink>
      <w:r w:rsidRPr="003836A1">
        <w:rPr>
          <w:rFonts w:ascii="Arial" w:eastAsia="Times New Roman" w:hAnsi="Arial" w:cs="Arial"/>
        </w:rPr>
        <w:t> de la Ley 1098 de 2006 "Código de Infancia y Adolescencia", y haciendo la revisión necesaria de la arquitectura institucional para la atención.</w:t>
      </w:r>
    </w:p>
    <w:p w14:paraId="154A8058" w14:textId="77777777" w:rsidR="00BD446C" w:rsidRPr="003836A1" w:rsidRDefault="00BD446C" w:rsidP="003836A1">
      <w:pPr>
        <w:rPr>
          <w:rFonts w:ascii="Arial" w:eastAsia="Arial" w:hAnsi="Arial" w:cs="Arial"/>
          <w:b/>
          <w:i/>
        </w:rPr>
      </w:pPr>
    </w:p>
    <w:p w14:paraId="154A8059" w14:textId="77777777" w:rsidR="00BD446C" w:rsidRPr="003836A1" w:rsidRDefault="00BD446C" w:rsidP="003836A1">
      <w:pPr>
        <w:widowControl/>
        <w:shd w:val="clear" w:color="auto" w:fill="FFFFFF"/>
        <w:jc w:val="both"/>
        <w:rPr>
          <w:rFonts w:ascii="Arial" w:eastAsia="Times New Roman" w:hAnsi="Arial" w:cs="Arial"/>
          <w:lang w:val="es-CO"/>
        </w:rPr>
      </w:pPr>
      <w:r w:rsidRPr="003836A1">
        <w:rPr>
          <w:rFonts w:ascii="Arial" w:eastAsia="Times New Roman" w:hAnsi="Arial" w:cs="Arial"/>
          <w:b/>
          <w:bCs/>
        </w:rPr>
        <w:t>Artículo</w:t>
      </w:r>
      <w:r w:rsidRPr="003836A1">
        <w:rPr>
          <w:rFonts w:ascii="Arial" w:eastAsia="Times New Roman" w:hAnsi="Arial" w:cs="Arial"/>
          <w:lang w:val="es-CO"/>
        </w:rPr>
        <w:t> </w:t>
      </w:r>
      <w:r w:rsidRPr="003836A1">
        <w:rPr>
          <w:rFonts w:ascii="Arial" w:eastAsia="Times New Roman" w:hAnsi="Arial" w:cs="Arial"/>
          <w:b/>
          <w:bCs/>
        </w:rPr>
        <w:t>192.</w:t>
      </w:r>
      <w:r w:rsidRPr="003836A1">
        <w:rPr>
          <w:rFonts w:ascii="Arial" w:eastAsia="Times New Roman" w:hAnsi="Arial" w:cs="Arial"/>
        </w:rPr>
        <w:t> </w:t>
      </w:r>
      <w:r w:rsidRPr="003836A1">
        <w:rPr>
          <w:rFonts w:ascii="Arial" w:eastAsia="Times New Roman" w:hAnsi="Arial" w:cs="Arial"/>
          <w:b/>
          <w:bCs/>
          <w:i/>
          <w:iCs/>
        </w:rPr>
        <w:t>Formulación y puesta en marcha de la política pública distrital de sustancias psicoactivas y su plan de acción con metas e indicadores.</w:t>
      </w:r>
      <w:r w:rsidRPr="003836A1">
        <w:rPr>
          <w:rFonts w:ascii="Arial" w:eastAsia="Times New Roman" w:hAnsi="Arial" w:cs="Arial"/>
          <w:i/>
          <w:iCs/>
        </w:rPr>
        <w:t> </w:t>
      </w:r>
      <w:r w:rsidRPr="003836A1">
        <w:rPr>
          <w:rFonts w:ascii="Arial" w:eastAsia="Times New Roman" w:hAnsi="Arial" w:cs="Arial"/>
        </w:rPr>
        <w:t>En cabeza de la Secretaría Distrital de Salud y en coordinación con la Secretaría Distrital de Gobierno, la Secretaria Distrital de Seguridad, Secretaría Distrital de Integración Social y la Secretaría Distrital de Planeación, la administración distrital formulará la nueva Política Distrital de Sustancias Psicoactivas, que en desarrollo de la Política Nacional de Drogas 2023-2033, la sentencia C </w:t>
      </w:r>
      <w:hyperlink r:id="rId89" w:history="1">
        <w:r w:rsidRPr="003836A1">
          <w:rPr>
            <w:rFonts w:ascii="Arial" w:eastAsia="Times New Roman" w:hAnsi="Arial" w:cs="Arial"/>
            <w:u w:val="single"/>
          </w:rPr>
          <w:t>127</w:t>
        </w:r>
      </w:hyperlink>
      <w:r w:rsidRPr="003836A1">
        <w:rPr>
          <w:rFonts w:ascii="Arial" w:eastAsia="Times New Roman" w:hAnsi="Arial" w:cs="Arial"/>
        </w:rPr>
        <w:t> de 2023 de la Corte Constitucional, el enfoque de prevención y reducción de riesgos y daños por consumo de SPA, esta política contará con objetivos, metas indicadores, plan de acción, presupuesto, que atienda las disponibilidades fiscales de mediano plazo del sector en el marco de gasto y otros requerimientos técnicos que en su formulación y puesta en marcha le permitan contar con herramientas para su desarrollo, en el corto, mediano y largo plazo.</w:t>
      </w:r>
    </w:p>
    <w:p w14:paraId="154A805A" w14:textId="77777777" w:rsidR="00BD446C" w:rsidRPr="003836A1" w:rsidRDefault="00BD446C" w:rsidP="003836A1">
      <w:pPr>
        <w:widowControl/>
        <w:shd w:val="clear" w:color="auto" w:fill="FFFFFF"/>
        <w:jc w:val="both"/>
        <w:rPr>
          <w:rFonts w:ascii="Arial" w:eastAsia="Times New Roman" w:hAnsi="Arial" w:cs="Arial"/>
          <w:lang w:val="es-CO"/>
        </w:rPr>
      </w:pPr>
      <w:r w:rsidRPr="003836A1">
        <w:rPr>
          <w:rFonts w:ascii="Arial" w:eastAsia="Times New Roman" w:hAnsi="Arial" w:cs="Arial"/>
        </w:rPr>
        <w:t> </w:t>
      </w:r>
    </w:p>
    <w:p w14:paraId="154A805B" w14:textId="77777777" w:rsidR="00BD446C" w:rsidRPr="003836A1" w:rsidRDefault="00BD446C" w:rsidP="003836A1">
      <w:pPr>
        <w:widowControl/>
        <w:shd w:val="clear" w:color="auto" w:fill="FFFFFF"/>
        <w:jc w:val="both"/>
        <w:rPr>
          <w:rFonts w:ascii="Arial" w:eastAsia="Times New Roman" w:hAnsi="Arial" w:cs="Arial"/>
          <w:lang w:val="es-CO"/>
        </w:rPr>
      </w:pPr>
      <w:r w:rsidRPr="003836A1">
        <w:rPr>
          <w:rFonts w:ascii="Arial" w:eastAsia="Times New Roman" w:hAnsi="Arial" w:cs="Arial"/>
          <w:b/>
          <w:bCs/>
        </w:rPr>
        <w:t>Parágrafo.</w:t>
      </w:r>
      <w:r w:rsidRPr="003836A1">
        <w:rPr>
          <w:rFonts w:ascii="Arial" w:eastAsia="Times New Roman" w:hAnsi="Arial" w:cs="Arial"/>
        </w:rPr>
        <w:t> Lo anterior sin perjuicio de que el CONPES Distrital determine un instrumento de acción pública alternativa o complementario.</w:t>
      </w:r>
    </w:p>
    <w:p w14:paraId="154A805C" w14:textId="77777777" w:rsidR="00BD446C" w:rsidRPr="003836A1" w:rsidRDefault="00BD446C" w:rsidP="003836A1">
      <w:pPr>
        <w:rPr>
          <w:rFonts w:ascii="Arial" w:eastAsia="Arial" w:hAnsi="Arial" w:cs="Arial"/>
          <w:b/>
          <w:i/>
        </w:rPr>
      </w:pPr>
    </w:p>
    <w:p w14:paraId="154A805D" w14:textId="77777777" w:rsidR="005F7714" w:rsidRPr="003836A1" w:rsidRDefault="005F7714" w:rsidP="003836A1">
      <w:pPr>
        <w:widowControl/>
        <w:shd w:val="clear" w:color="auto" w:fill="FFFFFF"/>
        <w:jc w:val="both"/>
        <w:rPr>
          <w:rFonts w:ascii="Arial" w:eastAsia="Times New Roman" w:hAnsi="Arial" w:cs="Arial"/>
          <w:lang w:val="es-CO"/>
        </w:rPr>
      </w:pPr>
      <w:r w:rsidRPr="003836A1">
        <w:rPr>
          <w:rFonts w:ascii="Arial" w:eastAsia="Times New Roman" w:hAnsi="Arial" w:cs="Arial"/>
          <w:b/>
          <w:bCs/>
        </w:rPr>
        <w:t>Artículo</w:t>
      </w:r>
      <w:r w:rsidRPr="003836A1">
        <w:rPr>
          <w:rFonts w:ascii="Arial" w:eastAsia="Times New Roman" w:hAnsi="Arial" w:cs="Arial"/>
          <w:lang w:val="es-CO"/>
        </w:rPr>
        <w:t> </w:t>
      </w:r>
      <w:r w:rsidRPr="003836A1">
        <w:rPr>
          <w:rFonts w:ascii="Arial" w:eastAsia="Times New Roman" w:hAnsi="Arial" w:cs="Arial"/>
          <w:b/>
          <w:bCs/>
        </w:rPr>
        <w:t>256. Formulación y adopción de la Política Pública de Entornos Educativos Protectores, Confiables y Seguros.</w:t>
      </w:r>
      <w:r w:rsidRPr="003836A1">
        <w:rPr>
          <w:rFonts w:ascii="Arial" w:eastAsia="Times New Roman" w:hAnsi="Arial" w:cs="Arial"/>
        </w:rPr>
        <w:t> De conformidad con lo establecido en el Acuerdo </w:t>
      </w:r>
      <w:hyperlink r:id="rId90" w:history="1">
        <w:r w:rsidRPr="003836A1">
          <w:rPr>
            <w:rFonts w:ascii="Arial" w:eastAsia="Times New Roman" w:hAnsi="Arial" w:cs="Arial"/>
          </w:rPr>
          <w:t>832</w:t>
        </w:r>
      </w:hyperlink>
      <w:r w:rsidRPr="003836A1">
        <w:rPr>
          <w:rFonts w:ascii="Arial" w:eastAsia="Times New Roman" w:hAnsi="Arial" w:cs="Arial"/>
        </w:rPr>
        <w:t> de 2022, la Administración Distrital formulará y adoptará la Política Pública de Entornos Educativos Protectores, Confiables y Seguros como instrumento de gestión pública orientada a identificar y promover estrategias integrales de cuidado, confianza y seguridad para las comunidades educativas de la ciudad, a través de intervenciones intersectoriales de impacto pedagógico, social, económico, cultural, ambiental y urbanístico que tengan en cuenta las características, especificidades, riquezas y necesidades de cada entorno educativo. Lo anterior, con el fin de mitigar los distintos tipos de violencias y demás factores que ponen en riesgo la vida, la integridad y desarrollo pleno de los niños, niñas, adolescentes, jóvenes y demás integrantes de las distintas comunidades educativas.</w:t>
      </w:r>
    </w:p>
    <w:p w14:paraId="154A805E" w14:textId="77777777" w:rsidR="005F7714" w:rsidRPr="003836A1" w:rsidRDefault="005F7714" w:rsidP="003836A1">
      <w:pPr>
        <w:widowControl/>
        <w:shd w:val="clear" w:color="auto" w:fill="FFFFFF"/>
        <w:jc w:val="both"/>
        <w:rPr>
          <w:rFonts w:ascii="Arial" w:eastAsia="Times New Roman" w:hAnsi="Arial" w:cs="Arial"/>
          <w:lang w:val="es-CO"/>
        </w:rPr>
      </w:pPr>
      <w:r w:rsidRPr="003836A1">
        <w:rPr>
          <w:rFonts w:ascii="Arial" w:eastAsia="Times New Roman" w:hAnsi="Arial" w:cs="Arial"/>
        </w:rPr>
        <w:t> </w:t>
      </w:r>
    </w:p>
    <w:p w14:paraId="154A805F" w14:textId="77777777" w:rsidR="005F7714" w:rsidRPr="003836A1" w:rsidRDefault="005F7714" w:rsidP="003836A1">
      <w:pPr>
        <w:widowControl/>
        <w:shd w:val="clear" w:color="auto" w:fill="FFFFFF"/>
        <w:jc w:val="both"/>
        <w:rPr>
          <w:rFonts w:ascii="Arial" w:eastAsia="Times New Roman" w:hAnsi="Arial" w:cs="Arial"/>
          <w:lang w:val="es-CO"/>
        </w:rPr>
      </w:pPr>
      <w:r w:rsidRPr="003836A1">
        <w:rPr>
          <w:rFonts w:ascii="Arial" w:eastAsia="Times New Roman" w:hAnsi="Arial" w:cs="Arial"/>
          <w:b/>
          <w:bCs/>
        </w:rPr>
        <w:t>Parágrafo.</w:t>
      </w:r>
      <w:r w:rsidRPr="003836A1">
        <w:rPr>
          <w:rFonts w:ascii="Arial" w:eastAsia="Times New Roman" w:hAnsi="Arial" w:cs="Arial"/>
        </w:rPr>
        <w:t> La Política Pública de Entornos Educativos Protectores, Confiables y Seguros del Distrito Capital estará articulada con la estrategia PAIS de la MEBOG.</w:t>
      </w:r>
    </w:p>
    <w:p w14:paraId="154A8060" w14:textId="77777777" w:rsidR="005F7714" w:rsidRPr="003836A1" w:rsidRDefault="005F7714" w:rsidP="003836A1">
      <w:pPr>
        <w:rPr>
          <w:rFonts w:ascii="Arial" w:eastAsia="Arial" w:hAnsi="Arial" w:cs="Arial"/>
          <w:b/>
          <w:i/>
        </w:rPr>
      </w:pPr>
    </w:p>
    <w:p w14:paraId="154A8061" w14:textId="77777777" w:rsidR="00D37A6F" w:rsidRPr="003836A1" w:rsidRDefault="00D37A6F" w:rsidP="003836A1">
      <w:pPr>
        <w:rPr>
          <w:rFonts w:ascii="Arial" w:eastAsia="Arial" w:hAnsi="Arial" w:cs="Arial"/>
          <w:b/>
          <w:i/>
        </w:rPr>
      </w:pPr>
    </w:p>
    <w:p w14:paraId="154A8062" w14:textId="77777777" w:rsidR="00610266" w:rsidRPr="003836A1" w:rsidRDefault="00F95AB8" w:rsidP="003836A1">
      <w:pPr>
        <w:pStyle w:val="Ttulo2"/>
        <w:numPr>
          <w:ilvl w:val="0"/>
          <w:numId w:val="1"/>
        </w:numPr>
        <w:ind w:left="142" w:firstLine="0"/>
        <w:jc w:val="both"/>
        <w:rPr>
          <w:i/>
        </w:rPr>
      </w:pPr>
      <w:r w:rsidRPr="003836A1">
        <w:rPr>
          <w:i/>
        </w:rPr>
        <w:t>Acuerdo 815 de 2021 “</w:t>
      </w:r>
      <w:r w:rsidRPr="003836A1">
        <w:rPr>
          <w:i/>
          <w:highlight w:val="white"/>
        </w:rPr>
        <w:t>Por medio del cual se crea el Registro de Cámaras de Seguridad y Circuitos Cerrados de Televisión (CCTV) del Distrito Capital, y se dictan otras disposiciones”.</w:t>
      </w:r>
    </w:p>
    <w:p w14:paraId="154A8063" w14:textId="77777777" w:rsidR="00610266" w:rsidRPr="003836A1" w:rsidRDefault="00610266" w:rsidP="003836A1">
      <w:pPr>
        <w:pStyle w:val="Ttulo2"/>
        <w:ind w:left="0"/>
        <w:jc w:val="both"/>
        <w:rPr>
          <w:i/>
        </w:rPr>
      </w:pPr>
    </w:p>
    <w:p w14:paraId="154A8064" w14:textId="77777777" w:rsidR="00610266" w:rsidRPr="003836A1" w:rsidRDefault="00F95AB8" w:rsidP="003836A1">
      <w:pPr>
        <w:shd w:val="clear" w:color="auto" w:fill="FFFFFF"/>
        <w:ind w:left="426" w:right="89"/>
        <w:jc w:val="both"/>
        <w:rPr>
          <w:rFonts w:ascii="Arial" w:eastAsia="Arial" w:hAnsi="Arial" w:cs="Arial"/>
          <w:i/>
        </w:rPr>
      </w:pPr>
      <w:r w:rsidRPr="003836A1">
        <w:rPr>
          <w:rFonts w:ascii="Arial" w:eastAsia="Arial" w:hAnsi="Arial" w:cs="Arial"/>
          <w:b/>
          <w:i/>
        </w:rPr>
        <w:t>Artículo</w:t>
      </w:r>
      <w:r w:rsidRPr="003836A1">
        <w:rPr>
          <w:rFonts w:ascii="Arial" w:eastAsia="Arial" w:hAnsi="Arial" w:cs="Arial"/>
          <w:i/>
        </w:rPr>
        <w:t> </w:t>
      </w:r>
      <w:r w:rsidRPr="003836A1">
        <w:rPr>
          <w:rFonts w:ascii="Arial" w:eastAsia="Arial" w:hAnsi="Arial" w:cs="Arial"/>
          <w:b/>
          <w:i/>
        </w:rPr>
        <w:t>1. Objeto: </w:t>
      </w:r>
      <w:r w:rsidRPr="003836A1">
        <w:rPr>
          <w:rFonts w:ascii="Arial" w:eastAsia="Arial" w:hAnsi="Arial" w:cs="Arial"/>
          <w:i/>
        </w:rPr>
        <w:t>créase el Registro de Cámaras de Seguridad y Circuitos Cerrados de Televisión (CCTV) del Distrito Capital, tanto público como privado, integrado al Centro de Comando, Control, Comunicaciones y Cómputo (C4), y, por defecto, a los Comandos Operativos de Seguridad Ciudadana (COSEC) de la Policía Metropolitana de Bogotá.</w:t>
      </w:r>
    </w:p>
    <w:p w14:paraId="154A8065" w14:textId="77777777" w:rsidR="00610266" w:rsidRPr="003836A1" w:rsidRDefault="00F95AB8" w:rsidP="003836A1">
      <w:pPr>
        <w:shd w:val="clear" w:color="auto" w:fill="FFFFFF"/>
        <w:ind w:left="426" w:right="89"/>
        <w:jc w:val="both"/>
        <w:rPr>
          <w:rFonts w:ascii="Arial" w:eastAsia="Arial" w:hAnsi="Arial" w:cs="Arial"/>
          <w:i/>
        </w:rPr>
      </w:pPr>
      <w:r w:rsidRPr="003836A1">
        <w:rPr>
          <w:rFonts w:ascii="Arial" w:eastAsia="Arial" w:hAnsi="Arial" w:cs="Arial"/>
          <w:i/>
        </w:rPr>
        <w:t> </w:t>
      </w:r>
    </w:p>
    <w:p w14:paraId="154A8066" w14:textId="77777777" w:rsidR="00610266" w:rsidRPr="003836A1" w:rsidRDefault="00F95AB8" w:rsidP="003836A1">
      <w:pPr>
        <w:shd w:val="clear" w:color="auto" w:fill="FFFFFF"/>
        <w:ind w:left="426" w:right="89"/>
        <w:jc w:val="both"/>
        <w:rPr>
          <w:rFonts w:ascii="Arial" w:eastAsia="Arial" w:hAnsi="Arial" w:cs="Arial"/>
          <w:i/>
        </w:rPr>
      </w:pPr>
      <w:r w:rsidRPr="003836A1">
        <w:rPr>
          <w:rFonts w:ascii="Arial" w:eastAsia="Arial" w:hAnsi="Arial" w:cs="Arial"/>
          <w:b/>
          <w:i/>
        </w:rPr>
        <w:t>Parágrafo</w:t>
      </w:r>
      <w:r w:rsidRPr="003836A1">
        <w:rPr>
          <w:rFonts w:ascii="Arial" w:eastAsia="Arial" w:hAnsi="Arial" w:cs="Arial"/>
          <w:i/>
        </w:rPr>
        <w:t> </w:t>
      </w:r>
      <w:r w:rsidRPr="003836A1">
        <w:rPr>
          <w:rFonts w:ascii="Arial" w:eastAsia="Arial" w:hAnsi="Arial" w:cs="Arial"/>
          <w:b/>
          <w:i/>
        </w:rPr>
        <w:t>N° 1.</w:t>
      </w:r>
      <w:r w:rsidRPr="003836A1">
        <w:rPr>
          <w:rFonts w:ascii="Arial" w:eastAsia="Arial" w:hAnsi="Arial" w:cs="Arial"/>
          <w:i/>
        </w:rPr>
        <w:t> El registro incluirá los dispositivos de video vigilancia propios de los servicios de vigilancia y seguridad privada que hacen parte de la Red de Apoyo y Solidaridad Ciudadana- RASCI, conforme a lo establecido en el Decreto </w:t>
      </w:r>
      <w:hyperlink r:id="rId91">
        <w:r w:rsidRPr="003836A1">
          <w:rPr>
            <w:rFonts w:ascii="Arial" w:eastAsia="Arial" w:hAnsi="Arial" w:cs="Arial"/>
            <w:i/>
          </w:rPr>
          <w:t>3222</w:t>
        </w:r>
      </w:hyperlink>
      <w:r w:rsidRPr="003836A1">
        <w:rPr>
          <w:rFonts w:ascii="Arial" w:eastAsia="Arial" w:hAnsi="Arial" w:cs="Arial"/>
          <w:i/>
        </w:rPr>
        <w:t> de 2002, compilado en el Decreto </w:t>
      </w:r>
      <w:hyperlink r:id="rId92">
        <w:r w:rsidRPr="003836A1">
          <w:rPr>
            <w:rFonts w:ascii="Arial" w:eastAsia="Arial" w:hAnsi="Arial" w:cs="Arial"/>
            <w:i/>
          </w:rPr>
          <w:t>1070</w:t>
        </w:r>
      </w:hyperlink>
      <w:r w:rsidRPr="003836A1">
        <w:rPr>
          <w:rFonts w:ascii="Arial" w:eastAsia="Arial" w:hAnsi="Arial" w:cs="Arial"/>
          <w:i/>
        </w:rPr>
        <w:t> de 2015 del Sector Administrativo de Defensa, o la norma que haga sus veces.</w:t>
      </w:r>
    </w:p>
    <w:p w14:paraId="154A8067" w14:textId="77777777" w:rsidR="00610266" w:rsidRPr="003836A1" w:rsidRDefault="00F95AB8" w:rsidP="003836A1">
      <w:pPr>
        <w:shd w:val="clear" w:color="auto" w:fill="FFFFFF"/>
        <w:ind w:left="426" w:right="89"/>
        <w:jc w:val="both"/>
        <w:rPr>
          <w:rFonts w:ascii="Arial" w:eastAsia="Arial" w:hAnsi="Arial" w:cs="Arial"/>
          <w:i/>
        </w:rPr>
      </w:pPr>
      <w:r w:rsidRPr="003836A1">
        <w:rPr>
          <w:rFonts w:ascii="Arial" w:eastAsia="Arial" w:hAnsi="Arial" w:cs="Arial"/>
          <w:i/>
        </w:rPr>
        <w:t> </w:t>
      </w:r>
    </w:p>
    <w:p w14:paraId="154A8068" w14:textId="77777777" w:rsidR="00610266" w:rsidRPr="003836A1" w:rsidRDefault="00F95AB8" w:rsidP="003836A1">
      <w:pPr>
        <w:shd w:val="clear" w:color="auto" w:fill="FFFFFF"/>
        <w:ind w:left="426" w:right="89"/>
        <w:jc w:val="both"/>
        <w:rPr>
          <w:rFonts w:ascii="Arial" w:eastAsia="Arial" w:hAnsi="Arial" w:cs="Arial"/>
          <w:i/>
        </w:rPr>
      </w:pPr>
      <w:r w:rsidRPr="003836A1">
        <w:rPr>
          <w:rFonts w:ascii="Arial" w:eastAsia="Arial" w:hAnsi="Arial" w:cs="Arial"/>
          <w:b/>
          <w:i/>
        </w:rPr>
        <w:t>Parágrafo</w:t>
      </w:r>
      <w:r w:rsidRPr="003836A1">
        <w:rPr>
          <w:rFonts w:ascii="Arial" w:eastAsia="Arial" w:hAnsi="Arial" w:cs="Arial"/>
          <w:i/>
        </w:rPr>
        <w:t> </w:t>
      </w:r>
      <w:r w:rsidRPr="003836A1">
        <w:rPr>
          <w:rFonts w:ascii="Arial" w:eastAsia="Arial" w:hAnsi="Arial" w:cs="Arial"/>
          <w:b/>
          <w:i/>
        </w:rPr>
        <w:t>N° 2.</w:t>
      </w:r>
      <w:r w:rsidRPr="003836A1">
        <w:rPr>
          <w:rFonts w:ascii="Arial" w:eastAsia="Arial" w:hAnsi="Arial" w:cs="Arial"/>
          <w:i/>
        </w:rPr>
        <w:t> El registro contendrá información sobre cámaras que estén ubicadas o instaladas en el espacio público, en lugares abiertos al público, en zonas comunes o en lugares privados abiertos al público o que siendo, privados, trasciendan a lo público.</w:t>
      </w:r>
    </w:p>
    <w:p w14:paraId="154A8069" w14:textId="77777777" w:rsidR="00610266" w:rsidRPr="003836A1" w:rsidRDefault="00610266" w:rsidP="003836A1">
      <w:pPr>
        <w:shd w:val="clear" w:color="auto" w:fill="FFFFFF"/>
        <w:ind w:left="426" w:right="89"/>
        <w:jc w:val="both"/>
        <w:rPr>
          <w:rFonts w:ascii="Arial" w:eastAsia="Arial" w:hAnsi="Arial" w:cs="Arial"/>
          <w:i/>
        </w:rPr>
      </w:pPr>
    </w:p>
    <w:p w14:paraId="154A806A" w14:textId="77777777" w:rsidR="00610266" w:rsidRPr="003836A1" w:rsidRDefault="00F95AB8" w:rsidP="003836A1">
      <w:pPr>
        <w:widowControl/>
        <w:shd w:val="clear" w:color="auto" w:fill="FFFFFF"/>
        <w:ind w:left="426" w:right="89"/>
        <w:jc w:val="both"/>
        <w:rPr>
          <w:rFonts w:ascii="Arial" w:eastAsia="Arial" w:hAnsi="Arial" w:cs="Arial"/>
          <w:i/>
        </w:rPr>
      </w:pPr>
      <w:r w:rsidRPr="003836A1">
        <w:rPr>
          <w:rFonts w:ascii="Arial" w:eastAsia="Arial" w:hAnsi="Arial" w:cs="Arial"/>
          <w:b/>
          <w:i/>
        </w:rPr>
        <w:t>Artículo</w:t>
      </w:r>
      <w:r w:rsidRPr="003836A1">
        <w:rPr>
          <w:rFonts w:ascii="Arial" w:eastAsia="Arial" w:hAnsi="Arial" w:cs="Arial"/>
          <w:i/>
        </w:rPr>
        <w:t> </w:t>
      </w:r>
      <w:r w:rsidRPr="003836A1">
        <w:rPr>
          <w:rFonts w:ascii="Arial" w:eastAsia="Arial" w:hAnsi="Arial" w:cs="Arial"/>
          <w:b/>
          <w:i/>
        </w:rPr>
        <w:t>2. Registro:</w:t>
      </w:r>
      <w:r w:rsidRPr="003836A1">
        <w:rPr>
          <w:rFonts w:ascii="Arial" w:eastAsia="Arial" w:hAnsi="Arial" w:cs="Arial"/>
          <w:i/>
        </w:rPr>
        <w:t> El Registro de Cámaras de Seguridad y Circuitos Cerrados de Televisión (CCTV) del Distrito Capital será una base de datos que recopilará la información que se especifica en el Artículo 4° del presente acuerdo, la cual será actualizada con información suministrada por los propietarios y/o administradores de las cámaras y cuya administración corresponderá a la Secretaría Distrital de Seguridad, Convivencia y Justicia.</w:t>
      </w:r>
    </w:p>
    <w:p w14:paraId="154A806B" w14:textId="77777777" w:rsidR="00610266" w:rsidRPr="003836A1" w:rsidRDefault="00F95AB8" w:rsidP="003836A1">
      <w:pPr>
        <w:widowControl/>
        <w:shd w:val="clear" w:color="auto" w:fill="FFFFFF"/>
        <w:ind w:left="426" w:right="89"/>
        <w:jc w:val="both"/>
        <w:rPr>
          <w:rFonts w:ascii="Arial" w:eastAsia="Arial" w:hAnsi="Arial" w:cs="Arial"/>
          <w:i/>
        </w:rPr>
      </w:pPr>
      <w:r w:rsidRPr="003836A1">
        <w:rPr>
          <w:rFonts w:ascii="Arial" w:eastAsia="Arial" w:hAnsi="Arial" w:cs="Arial"/>
          <w:i/>
        </w:rPr>
        <w:t> </w:t>
      </w:r>
    </w:p>
    <w:p w14:paraId="154A806C" w14:textId="77777777" w:rsidR="00610266" w:rsidRPr="003836A1" w:rsidRDefault="00F95AB8" w:rsidP="003836A1">
      <w:pPr>
        <w:widowControl/>
        <w:shd w:val="clear" w:color="auto" w:fill="FFFFFF"/>
        <w:ind w:left="426" w:right="89"/>
        <w:jc w:val="both"/>
        <w:rPr>
          <w:rFonts w:ascii="Arial" w:eastAsia="Arial" w:hAnsi="Arial" w:cs="Arial"/>
          <w:i/>
        </w:rPr>
      </w:pPr>
      <w:r w:rsidRPr="003836A1">
        <w:rPr>
          <w:rFonts w:ascii="Arial" w:eastAsia="Arial" w:hAnsi="Arial" w:cs="Arial"/>
          <w:b/>
          <w:i/>
        </w:rPr>
        <w:t>Parágrafo.</w:t>
      </w:r>
      <w:r w:rsidRPr="003836A1">
        <w:rPr>
          <w:rFonts w:ascii="Arial" w:eastAsia="Arial" w:hAnsi="Arial" w:cs="Arial"/>
          <w:i/>
        </w:rPr>
        <w:t> También será objeto de registro, en cuanto componente del sistema de video vigilancia del Distrito Capital, la información de las cámaras instaladas en los vehículos de la Policía Metropolitana de Bogotá, así como, las cámaras corporales (Bodycams) que hagan parte de la dotación a los uniformados de la Policía, miembros del Escuadrón Móvil Antidisturbios- ESMAD y de la fuerza disponible.</w:t>
      </w:r>
    </w:p>
    <w:p w14:paraId="154A806D" w14:textId="77777777" w:rsidR="00610266" w:rsidRPr="003836A1" w:rsidRDefault="00610266" w:rsidP="003836A1">
      <w:pPr>
        <w:widowControl/>
        <w:shd w:val="clear" w:color="auto" w:fill="FFFFFF"/>
        <w:ind w:left="426" w:right="89"/>
        <w:jc w:val="both"/>
        <w:rPr>
          <w:rFonts w:ascii="Arial" w:eastAsia="Arial" w:hAnsi="Arial" w:cs="Arial"/>
          <w:i/>
        </w:rPr>
      </w:pPr>
    </w:p>
    <w:p w14:paraId="154A806E" w14:textId="77777777" w:rsidR="00610266" w:rsidRPr="003836A1" w:rsidRDefault="00F95AB8" w:rsidP="003836A1">
      <w:pPr>
        <w:widowControl/>
        <w:shd w:val="clear" w:color="auto" w:fill="FFFFFF"/>
        <w:ind w:left="426" w:right="89"/>
        <w:jc w:val="both"/>
        <w:rPr>
          <w:rFonts w:ascii="Arial" w:eastAsia="Arial" w:hAnsi="Arial" w:cs="Arial"/>
          <w:i/>
        </w:rPr>
      </w:pPr>
      <w:r w:rsidRPr="003836A1">
        <w:rPr>
          <w:rFonts w:ascii="Arial" w:eastAsia="Arial" w:hAnsi="Arial" w:cs="Arial"/>
          <w:b/>
          <w:i/>
        </w:rPr>
        <w:t>Artículo</w:t>
      </w:r>
      <w:r w:rsidRPr="003836A1">
        <w:rPr>
          <w:rFonts w:ascii="Arial" w:eastAsia="Arial" w:hAnsi="Arial" w:cs="Arial"/>
          <w:i/>
        </w:rPr>
        <w:t> </w:t>
      </w:r>
      <w:r w:rsidRPr="003836A1">
        <w:rPr>
          <w:rFonts w:ascii="Arial" w:eastAsia="Arial" w:hAnsi="Arial" w:cs="Arial"/>
          <w:b/>
          <w:i/>
        </w:rPr>
        <w:t>4. Lineamientos para la parametrización del registro.</w:t>
      </w:r>
      <w:r w:rsidRPr="003836A1">
        <w:rPr>
          <w:rFonts w:ascii="Arial" w:eastAsia="Arial" w:hAnsi="Arial" w:cs="Arial"/>
          <w:i/>
        </w:rPr>
        <w:t> Los propietarios y/o administradores de las cámaras a los que se refiere este acuerdo, reportarán y actualizarán para su integración al Registro de Cámaras de Seguridad y Circuitos Cerrados de Televisión (CCTV) del Distrito Capital, la información que con base en los siguientes lineamientos que determinen la Secretaría de Seguridad, Convivencia y Justicia, la información que se integrará al registro:</w:t>
      </w:r>
    </w:p>
    <w:p w14:paraId="154A806F" w14:textId="77777777" w:rsidR="00610266" w:rsidRPr="003836A1" w:rsidRDefault="00F95AB8" w:rsidP="003836A1">
      <w:pPr>
        <w:widowControl/>
        <w:shd w:val="clear" w:color="auto" w:fill="FFFFFF"/>
        <w:ind w:left="709" w:right="89"/>
        <w:jc w:val="both"/>
        <w:rPr>
          <w:rFonts w:ascii="Arial" w:eastAsia="Arial" w:hAnsi="Arial" w:cs="Arial"/>
          <w:i/>
        </w:rPr>
      </w:pPr>
      <w:r w:rsidRPr="003836A1">
        <w:rPr>
          <w:rFonts w:ascii="Arial" w:eastAsia="Arial" w:hAnsi="Arial" w:cs="Arial"/>
          <w:i/>
        </w:rPr>
        <w:t> </w:t>
      </w:r>
    </w:p>
    <w:p w14:paraId="154A8070" w14:textId="77777777" w:rsidR="00610266" w:rsidRPr="003836A1" w:rsidRDefault="00F95AB8" w:rsidP="003836A1">
      <w:pPr>
        <w:widowControl/>
        <w:shd w:val="clear" w:color="auto" w:fill="FFFFFF"/>
        <w:ind w:left="709" w:right="89"/>
        <w:jc w:val="both"/>
        <w:rPr>
          <w:rFonts w:ascii="Arial" w:eastAsia="Arial" w:hAnsi="Arial" w:cs="Arial"/>
          <w:i/>
        </w:rPr>
      </w:pPr>
      <w:r w:rsidRPr="003836A1">
        <w:rPr>
          <w:rFonts w:ascii="Arial" w:eastAsia="Arial" w:hAnsi="Arial" w:cs="Arial"/>
          <w:i/>
        </w:rPr>
        <w:t>1. La finalidad del registro, como el del sistema de video vigilancia, es la seguridad de las personas y de los bienes.</w:t>
      </w:r>
    </w:p>
    <w:p w14:paraId="154A8071" w14:textId="77777777" w:rsidR="00610266" w:rsidRPr="003836A1" w:rsidRDefault="00F95AB8" w:rsidP="003836A1">
      <w:pPr>
        <w:widowControl/>
        <w:shd w:val="clear" w:color="auto" w:fill="FFFFFF"/>
        <w:ind w:left="709" w:right="89"/>
        <w:jc w:val="both"/>
        <w:rPr>
          <w:rFonts w:ascii="Arial" w:eastAsia="Arial" w:hAnsi="Arial" w:cs="Arial"/>
          <w:i/>
        </w:rPr>
      </w:pPr>
      <w:r w:rsidRPr="003836A1">
        <w:rPr>
          <w:rFonts w:ascii="Arial" w:eastAsia="Arial" w:hAnsi="Arial" w:cs="Arial"/>
          <w:i/>
        </w:rPr>
        <w:t> </w:t>
      </w:r>
    </w:p>
    <w:p w14:paraId="154A8072" w14:textId="77777777" w:rsidR="00610266" w:rsidRPr="003836A1" w:rsidRDefault="00F95AB8" w:rsidP="003836A1">
      <w:pPr>
        <w:widowControl/>
        <w:shd w:val="clear" w:color="auto" w:fill="FFFFFF"/>
        <w:ind w:left="709" w:right="89"/>
        <w:jc w:val="both"/>
        <w:rPr>
          <w:rFonts w:ascii="Arial" w:eastAsia="Arial" w:hAnsi="Arial" w:cs="Arial"/>
          <w:i/>
        </w:rPr>
      </w:pPr>
      <w:r w:rsidRPr="003836A1">
        <w:rPr>
          <w:rFonts w:ascii="Arial" w:eastAsia="Arial" w:hAnsi="Arial" w:cs="Arial"/>
          <w:i/>
        </w:rPr>
        <w:t>2. El registro se operará en garantía del habeas data.</w:t>
      </w:r>
    </w:p>
    <w:p w14:paraId="154A8073" w14:textId="77777777" w:rsidR="00610266" w:rsidRPr="003836A1" w:rsidRDefault="00F95AB8" w:rsidP="003836A1">
      <w:pPr>
        <w:widowControl/>
        <w:shd w:val="clear" w:color="auto" w:fill="FFFFFF"/>
        <w:ind w:left="709" w:right="89"/>
        <w:jc w:val="both"/>
        <w:rPr>
          <w:rFonts w:ascii="Arial" w:eastAsia="Arial" w:hAnsi="Arial" w:cs="Arial"/>
          <w:i/>
        </w:rPr>
      </w:pPr>
      <w:r w:rsidRPr="003836A1">
        <w:rPr>
          <w:rFonts w:ascii="Arial" w:eastAsia="Arial" w:hAnsi="Arial" w:cs="Arial"/>
          <w:i/>
        </w:rPr>
        <w:t> </w:t>
      </w:r>
    </w:p>
    <w:p w14:paraId="154A8074" w14:textId="77777777" w:rsidR="00610266" w:rsidRPr="003836A1" w:rsidRDefault="00F95AB8" w:rsidP="003836A1">
      <w:pPr>
        <w:widowControl/>
        <w:shd w:val="clear" w:color="auto" w:fill="FFFFFF"/>
        <w:ind w:left="709" w:right="89"/>
        <w:jc w:val="both"/>
        <w:rPr>
          <w:rFonts w:ascii="Arial" w:eastAsia="Arial" w:hAnsi="Arial" w:cs="Arial"/>
          <w:i/>
        </w:rPr>
      </w:pPr>
      <w:r w:rsidRPr="003836A1">
        <w:rPr>
          <w:rFonts w:ascii="Arial" w:eastAsia="Arial" w:hAnsi="Arial" w:cs="Arial"/>
          <w:i/>
        </w:rPr>
        <w:t>3. Garantizar la interoperabilidad de los componentes del sistema de video vigilancia.</w:t>
      </w:r>
    </w:p>
    <w:p w14:paraId="154A8075" w14:textId="77777777" w:rsidR="00610266" w:rsidRPr="003836A1" w:rsidRDefault="00F95AB8" w:rsidP="003836A1">
      <w:pPr>
        <w:widowControl/>
        <w:shd w:val="clear" w:color="auto" w:fill="FFFFFF"/>
        <w:ind w:left="709" w:right="89"/>
        <w:jc w:val="both"/>
        <w:rPr>
          <w:rFonts w:ascii="Arial" w:eastAsia="Arial" w:hAnsi="Arial" w:cs="Arial"/>
          <w:i/>
        </w:rPr>
      </w:pPr>
      <w:r w:rsidRPr="003836A1">
        <w:rPr>
          <w:rFonts w:ascii="Arial" w:eastAsia="Arial" w:hAnsi="Arial" w:cs="Arial"/>
          <w:i/>
        </w:rPr>
        <w:t> </w:t>
      </w:r>
    </w:p>
    <w:p w14:paraId="154A8076" w14:textId="77777777" w:rsidR="00610266" w:rsidRPr="003836A1" w:rsidRDefault="00F95AB8" w:rsidP="003836A1">
      <w:pPr>
        <w:widowControl/>
        <w:shd w:val="clear" w:color="auto" w:fill="FFFFFF"/>
        <w:ind w:left="709" w:right="89"/>
        <w:jc w:val="both"/>
        <w:rPr>
          <w:rFonts w:ascii="Arial" w:eastAsia="Arial" w:hAnsi="Arial" w:cs="Arial"/>
          <w:i/>
        </w:rPr>
      </w:pPr>
      <w:r w:rsidRPr="003836A1">
        <w:rPr>
          <w:rFonts w:ascii="Arial" w:eastAsia="Arial" w:hAnsi="Arial" w:cs="Arial"/>
          <w:i/>
        </w:rPr>
        <w:t>4. La información servirá de instrumento para la toma de decisiones en relación con el sistema de video vigilancia de la ciudad.</w:t>
      </w:r>
    </w:p>
    <w:p w14:paraId="154A8077" w14:textId="77777777" w:rsidR="00610266" w:rsidRPr="003836A1" w:rsidRDefault="00F95AB8" w:rsidP="003836A1">
      <w:pPr>
        <w:widowControl/>
        <w:shd w:val="clear" w:color="auto" w:fill="FFFFFF"/>
        <w:ind w:left="709" w:right="89"/>
        <w:jc w:val="both"/>
        <w:rPr>
          <w:rFonts w:ascii="Arial" w:eastAsia="Arial" w:hAnsi="Arial" w:cs="Arial"/>
          <w:i/>
        </w:rPr>
      </w:pPr>
      <w:r w:rsidRPr="003836A1">
        <w:rPr>
          <w:rFonts w:ascii="Arial" w:eastAsia="Arial" w:hAnsi="Arial" w:cs="Arial"/>
          <w:i/>
        </w:rPr>
        <w:t> </w:t>
      </w:r>
    </w:p>
    <w:p w14:paraId="154A8078" w14:textId="77777777" w:rsidR="00610266" w:rsidRPr="003836A1" w:rsidRDefault="00F95AB8" w:rsidP="003836A1">
      <w:pPr>
        <w:widowControl/>
        <w:shd w:val="clear" w:color="auto" w:fill="FFFFFF"/>
        <w:ind w:left="709" w:right="89"/>
        <w:jc w:val="both"/>
        <w:rPr>
          <w:rFonts w:ascii="Arial" w:eastAsia="Arial" w:hAnsi="Arial" w:cs="Arial"/>
          <w:i/>
        </w:rPr>
      </w:pPr>
      <w:r w:rsidRPr="003836A1">
        <w:rPr>
          <w:rFonts w:ascii="Arial" w:eastAsia="Arial" w:hAnsi="Arial" w:cs="Arial"/>
          <w:i/>
        </w:rPr>
        <w:t>5. El registro debe permitir a las autoridades disponer de información verificable de los componentes que integran el sistema de video vigilancia incluidas todas las cámaras o CCTV de la ciudad, privadas y/o públicas, el estado de las mismas, sus propietarios, administradores y cualquier información necesaria para su optimización.</w:t>
      </w:r>
    </w:p>
    <w:p w14:paraId="154A8079" w14:textId="77777777" w:rsidR="00610266" w:rsidRPr="003836A1" w:rsidRDefault="00610266" w:rsidP="003836A1">
      <w:pPr>
        <w:widowControl/>
        <w:shd w:val="clear" w:color="auto" w:fill="FFFFFF"/>
        <w:ind w:right="89"/>
        <w:jc w:val="both"/>
        <w:rPr>
          <w:rFonts w:ascii="Arial" w:eastAsia="Arial" w:hAnsi="Arial" w:cs="Arial"/>
        </w:rPr>
      </w:pPr>
    </w:p>
    <w:p w14:paraId="154A807A" w14:textId="77777777" w:rsidR="00610266" w:rsidRPr="003836A1" w:rsidRDefault="00F95AB8" w:rsidP="003836A1">
      <w:pPr>
        <w:pStyle w:val="Ttulo2"/>
        <w:tabs>
          <w:tab w:val="left" w:pos="830"/>
          <w:tab w:val="left" w:pos="831"/>
        </w:tabs>
        <w:ind w:firstLine="119"/>
      </w:pPr>
      <w:r w:rsidRPr="003836A1">
        <w:t>4.5. JURISPRUDENCIA</w:t>
      </w:r>
    </w:p>
    <w:p w14:paraId="154A807B" w14:textId="77777777" w:rsidR="00610266" w:rsidRPr="003836A1" w:rsidRDefault="00610266" w:rsidP="003836A1">
      <w:pPr>
        <w:widowControl/>
        <w:shd w:val="clear" w:color="auto" w:fill="FFFFFF"/>
        <w:ind w:right="89"/>
        <w:jc w:val="both"/>
        <w:rPr>
          <w:rFonts w:ascii="Arial" w:eastAsia="Arial" w:hAnsi="Arial" w:cs="Arial"/>
        </w:rPr>
      </w:pPr>
    </w:p>
    <w:p w14:paraId="154A807C" w14:textId="77777777" w:rsidR="00610266" w:rsidRPr="003836A1" w:rsidRDefault="00F95AB8" w:rsidP="003836A1">
      <w:pPr>
        <w:numPr>
          <w:ilvl w:val="0"/>
          <w:numId w:val="1"/>
        </w:numPr>
        <w:pBdr>
          <w:top w:val="nil"/>
          <w:left w:val="nil"/>
          <w:bottom w:val="nil"/>
          <w:right w:val="nil"/>
          <w:between w:val="nil"/>
        </w:pBdr>
        <w:ind w:left="426" w:hanging="12"/>
        <w:jc w:val="both"/>
        <w:rPr>
          <w:rFonts w:ascii="Arial" w:eastAsia="Arial" w:hAnsi="Arial" w:cs="Arial"/>
          <w:i/>
        </w:rPr>
      </w:pPr>
      <w:r w:rsidRPr="003836A1">
        <w:rPr>
          <w:rFonts w:ascii="Arial" w:eastAsia="Arial" w:hAnsi="Arial" w:cs="Arial"/>
          <w:i/>
        </w:rPr>
        <w:t xml:space="preserve">Sentencia </w:t>
      </w:r>
      <w:r w:rsidRPr="003836A1">
        <w:rPr>
          <w:rFonts w:ascii="Arial" w:eastAsia="Arial" w:hAnsi="Arial" w:cs="Arial"/>
          <w:b/>
          <w:i/>
        </w:rPr>
        <w:t>T-494 de 1993</w:t>
      </w:r>
      <w:r w:rsidRPr="003836A1">
        <w:rPr>
          <w:rFonts w:ascii="Arial" w:eastAsia="Arial" w:hAnsi="Arial" w:cs="Arial"/>
          <w:i/>
        </w:rPr>
        <w:t>, Corte Constitucional, Magistrado Ponente: Vladimiro Naranjo Mesa, Radicado: T-16663.</w:t>
      </w:r>
    </w:p>
    <w:p w14:paraId="154A807D" w14:textId="77777777" w:rsidR="00610266" w:rsidRPr="003836A1" w:rsidRDefault="00610266" w:rsidP="003836A1">
      <w:pPr>
        <w:pBdr>
          <w:top w:val="nil"/>
          <w:left w:val="nil"/>
          <w:bottom w:val="nil"/>
          <w:right w:val="nil"/>
          <w:between w:val="nil"/>
        </w:pBdr>
        <w:ind w:left="426"/>
        <w:jc w:val="both"/>
        <w:rPr>
          <w:rFonts w:ascii="Arial" w:eastAsia="Arial" w:hAnsi="Arial" w:cs="Arial"/>
          <w:i/>
        </w:rPr>
      </w:pPr>
    </w:p>
    <w:p w14:paraId="154A807E" w14:textId="77777777" w:rsidR="00610266" w:rsidRPr="003836A1" w:rsidRDefault="00F95AB8" w:rsidP="003836A1">
      <w:pPr>
        <w:numPr>
          <w:ilvl w:val="0"/>
          <w:numId w:val="1"/>
        </w:numPr>
        <w:pBdr>
          <w:top w:val="nil"/>
          <w:left w:val="nil"/>
          <w:bottom w:val="nil"/>
          <w:right w:val="nil"/>
          <w:between w:val="nil"/>
        </w:pBdr>
        <w:ind w:left="426" w:hanging="12"/>
        <w:jc w:val="both"/>
        <w:rPr>
          <w:rFonts w:ascii="Arial" w:eastAsia="Arial" w:hAnsi="Arial" w:cs="Arial"/>
          <w:i/>
        </w:rPr>
      </w:pPr>
      <w:r w:rsidRPr="003836A1">
        <w:rPr>
          <w:rFonts w:ascii="Arial" w:eastAsia="Arial" w:hAnsi="Arial" w:cs="Arial"/>
          <w:i/>
        </w:rPr>
        <w:t xml:space="preserve">Sentencia </w:t>
      </w:r>
      <w:r w:rsidRPr="003836A1">
        <w:rPr>
          <w:rFonts w:ascii="Arial" w:eastAsia="Arial" w:hAnsi="Arial" w:cs="Arial"/>
          <w:b/>
          <w:i/>
        </w:rPr>
        <w:t>C-221 de 1994</w:t>
      </w:r>
      <w:r w:rsidRPr="003836A1">
        <w:rPr>
          <w:rFonts w:ascii="Arial" w:eastAsia="Arial" w:hAnsi="Arial" w:cs="Arial"/>
          <w:i/>
        </w:rPr>
        <w:t>, Corte Constitucional, Magistrado Ponente: Carlos Gaviria Díaz.        </w:t>
      </w:r>
    </w:p>
    <w:p w14:paraId="154A807F" w14:textId="77777777" w:rsidR="00610266" w:rsidRPr="003836A1" w:rsidRDefault="00610266" w:rsidP="003836A1">
      <w:pPr>
        <w:pBdr>
          <w:top w:val="nil"/>
          <w:left w:val="nil"/>
          <w:bottom w:val="nil"/>
          <w:right w:val="nil"/>
          <w:between w:val="nil"/>
        </w:pBdr>
        <w:ind w:left="119"/>
        <w:jc w:val="both"/>
        <w:rPr>
          <w:rFonts w:ascii="Arial" w:eastAsia="Arial" w:hAnsi="Arial" w:cs="Arial"/>
          <w:i/>
        </w:rPr>
      </w:pPr>
    </w:p>
    <w:p w14:paraId="154A8080" w14:textId="77777777" w:rsidR="00610266" w:rsidRPr="003836A1" w:rsidRDefault="00F95AB8" w:rsidP="003836A1">
      <w:pPr>
        <w:numPr>
          <w:ilvl w:val="0"/>
          <w:numId w:val="1"/>
        </w:numPr>
        <w:pBdr>
          <w:top w:val="nil"/>
          <w:left w:val="nil"/>
          <w:bottom w:val="nil"/>
          <w:right w:val="nil"/>
          <w:between w:val="nil"/>
        </w:pBdr>
        <w:ind w:left="426" w:hanging="12"/>
        <w:jc w:val="both"/>
        <w:rPr>
          <w:rFonts w:ascii="Arial" w:eastAsia="Arial" w:hAnsi="Arial" w:cs="Arial"/>
          <w:i/>
        </w:rPr>
      </w:pPr>
      <w:r w:rsidRPr="003836A1">
        <w:rPr>
          <w:rFonts w:ascii="Arial" w:eastAsia="Arial" w:hAnsi="Arial" w:cs="Arial"/>
          <w:i/>
        </w:rPr>
        <w:t xml:space="preserve">Sentencia </w:t>
      </w:r>
      <w:r w:rsidRPr="003836A1">
        <w:rPr>
          <w:rFonts w:ascii="Arial" w:eastAsia="Arial" w:hAnsi="Arial" w:cs="Arial"/>
          <w:b/>
          <w:i/>
        </w:rPr>
        <w:t xml:space="preserve">T-292/04, </w:t>
      </w:r>
      <w:r w:rsidRPr="003836A1">
        <w:rPr>
          <w:rFonts w:ascii="Arial" w:eastAsia="Arial" w:hAnsi="Arial" w:cs="Arial"/>
          <w:i/>
        </w:rPr>
        <w:t>Corte Constitucional, Magistrado Ponente: Manuel José Cepeda Espinosa.</w:t>
      </w:r>
    </w:p>
    <w:p w14:paraId="154A8081" w14:textId="77777777" w:rsidR="00610266" w:rsidRPr="003836A1" w:rsidRDefault="00610266" w:rsidP="003836A1">
      <w:pPr>
        <w:jc w:val="both"/>
        <w:rPr>
          <w:rFonts w:ascii="Arial" w:eastAsia="Arial" w:hAnsi="Arial" w:cs="Arial"/>
          <w:i/>
        </w:rPr>
      </w:pPr>
    </w:p>
    <w:p w14:paraId="154A8082" w14:textId="77777777" w:rsidR="00610266" w:rsidRPr="003836A1" w:rsidRDefault="00F95AB8" w:rsidP="003836A1">
      <w:pPr>
        <w:numPr>
          <w:ilvl w:val="0"/>
          <w:numId w:val="1"/>
        </w:numPr>
        <w:pBdr>
          <w:top w:val="nil"/>
          <w:left w:val="nil"/>
          <w:bottom w:val="nil"/>
          <w:right w:val="nil"/>
          <w:between w:val="nil"/>
        </w:pBdr>
        <w:ind w:left="426" w:hanging="12"/>
        <w:jc w:val="both"/>
        <w:rPr>
          <w:rFonts w:ascii="Arial" w:eastAsia="Arial" w:hAnsi="Arial" w:cs="Arial"/>
          <w:i/>
        </w:rPr>
      </w:pPr>
      <w:r w:rsidRPr="003836A1">
        <w:rPr>
          <w:rFonts w:ascii="Arial" w:eastAsia="Arial" w:hAnsi="Arial" w:cs="Arial"/>
          <w:i/>
        </w:rPr>
        <w:t xml:space="preserve">Sentencia </w:t>
      </w:r>
      <w:r w:rsidRPr="003836A1">
        <w:rPr>
          <w:rFonts w:ascii="Arial" w:eastAsia="Arial" w:hAnsi="Arial" w:cs="Arial"/>
          <w:b/>
          <w:i/>
        </w:rPr>
        <w:t>C-665 de 2007</w:t>
      </w:r>
      <w:r w:rsidRPr="003836A1">
        <w:rPr>
          <w:rFonts w:ascii="Arial" w:eastAsia="Arial" w:hAnsi="Arial" w:cs="Arial"/>
          <w:i/>
        </w:rPr>
        <w:t>, Corte Constitucional, Magistrado Ponente:  Marco Gerardo Monroy Cabra.</w:t>
      </w:r>
    </w:p>
    <w:p w14:paraId="154A8083" w14:textId="77777777" w:rsidR="00610266" w:rsidRPr="003836A1" w:rsidRDefault="00610266" w:rsidP="003836A1">
      <w:pPr>
        <w:rPr>
          <w:rFonts w:ascii="Arial" w:eastAsia="Arial" w:hAnsi="Arial" w:cs="Arial"/>
          <w:i/>
        </w:rPr>
      </w:pPr>
    </w:p>
    <w:p w14:paraId="154A8084" w14:textId="77777777" w:rsidR="00610266" w:rsidRPr="003836A1" w:rsidRDefault="00F95AB8" w:rsidP="003836A1">
      <w:pPr>
        <w:numPr>
          <w:ilvl w:val="0"/>
          <w:numId w:val="1"/>
        </w:numPr>
        <w:pBdr>
          <w:top w:val="nil"/>
          <w:left w:val="nil"/>
          <w:bottom w:val="nil"/>
          <w:right w:val="nil"/>
          <w:between w:val="nil"/>
        </w:pBdr>
        <w:ind w:left="426" w:hanging="12"/>
        <w:jc w:val="both"/>
        <w:rPr>
          <w:rFonts w:ascii="Arial" w:eastAsia="Arial" w:hAnsi="Arial" w:cs="Arial"/>
          <w:i/>
        </w:rPr>
      </w:pPr>
      <w:r w:rsidRPr="003836A1">
        <w:rPr>
          <w:rFonts w:ascii="Arial" w:eastAsia="Arial" w:hAnsi="Arial" w:cs="Arial"/>
          <w:i/>
        </w:rPr>
        <w:t xml:space="preserve">Sentencia </w:t>
      </w:r>
      <w:r w:rsidRPr="003836A1">
        <w:rPr>
          <w:rFonts w:ascii="Arial" w:eastAsia="Arial" w:hAnsi="Arial" w:cs="Arial"/>
          <w:b/>
          <w:i/>
        </w:rPr>
        <w:t>C-127 de 2023</w:t>
      </w:r>
      <w:r w:rsidRPr="003836A1">
        <w:rPr>
          <w:rFonts w:ascii="Arial" w:eastAsia="Arial" w:hAnsi="Arial" w:cs="Arial"/>
          <w:i/>
        </w:rPr>
        <w:t>, Corte Constitucional, Magistrado Ponente: Juan Carlos Cortés González.</w:t>
      </w:r>
    </w:p>
    <w:p w14:paraId="154A8085" w14:textId="77777777" w:rsidR="00610266" w:rsidRPr="003836A1" w:rsidRDefault="00610266" w:rsidP="003836A1">
      <w:pPr>
        <w:ind w:left="426" w:hanging="12"/>
        <w:jc w:val="both"/>
        <w:rPr>
          <w:rFonts w:ascii="Arial" w:eastAsia="Arial" w:hAnsi="Arial" w:cs="Arial"/>
          <w:i/>
        </w:rPr>
      </w:pPr>
    </w:p>
    <w:p w14:paraId="154A8086" w14:textId="77777777" w:rsidR="00610266" w:rsidRPr="003836A1" w:rsidRDefault="00F95AB8" w:rsidP="003836A1">
      <w:pPr>
        <w:numPr>
          <w:ilvl w:val="0"/>
          <w:numId w:val="1"/>
        </w:numPr>
        <w:pBdr>
          <w:top w:val="nil"/>
          <w:left w:val="nil"/>
          <w:bottom w:val="nil"/>
          <w:right w:val="nil"/>
          <w:between w:val="nil"/>
        </w:pBdr>
        <w:ind w:left="426" w:hanging="12"/>
        <w:jc w:val="both"/>
        <w:rPr>
          <w:rFonts w:ascii="Arial" w:eastAsia="Arial" w:hAnsi="Arial" w:cs="Arial"/>
          <w:i/>
        </w:rPr>
      </w:pPr>
      <w:r w:rsidRPr="003836A1">
        <w:rPr>
          <w:rFonts w:ascii="Arial" w:eastAsia="Arial" w:hAnsi="Arial" w:cs="Arial"/>
          <w:i/>
        </w:rPr>
        <w:t xml:space="preserve">Sentencia </w:t>
      </w:r>
      <w:r w:rsidRPr="003836A1">
        <w:rPr>
          <w:rFonts w:ascii="Arial" w:eastAsia="Arial" w:hAnsi="Arial" w:cs="Arial"/>
          <w:b/>
          <w:i/>
        </w:rPr>
        <w:t>C-639 de 2010</w:t>
      </w:r>
      <w:r w:rsidRPr="003836A1">
        <w:rPr>
          <w:rFonts w:ascii="Arial" w:eastAsia="Arial" w:hAnsi="Arial" w:cs="Arial"/>
          <w:i/>
        </w:rPr>
        <w:t>, Corte Constitucional, Magistrado Ponente: Humberto Antonio Sierra Porto, Radicado: D-7968.</w:t>
      </w:r>
    </w:p>
    <w:p w14:paraId="154A8087" w14:textId="77777777" w:rsidR="00610266" w:rsidRPr="003836A1" w:rsidRDefault="00610266" w:rsidP="003836A1">
      <w:pPr>
        <w:ind w:left="426" w:hanging="12"/>
        <w:jc w:val="both"/>
        <w:rPr>
          <w:rFonts w:ascii="Arial" w:eastAsia="Arial" w:hAnsi="Arial" w:cs="Arial"/>
          <w:i/>
        </w:rPr>
      </w:pPr>
    </w:p>
    <w:p w14:paraId="154A8088" w14:textId="77777777" w:rsidR="00610266" w:rsidRPr="003836A1" w:rsidRDefault="00F95AB8" w:rsidP="003836A1">
      <w:pPr>
        <w:numPr>
          <w:ilvl w:val="0"/>
          <w:numId w:val="1"/>
        </w:numPr>
        <w:pBdr>
          <w:top w:val="nil"/>
          <w:left w:val="nil"/>
          <w:bottom w:val="nil"/>
          <w:right w:val="nil"/>
          <w:between w:val="nil"/>
        </w:pBdr>
        <w:ind w:left="426" w:hanging="12"/>
        <w:jc w:val="both"/>
        <w:rPr>
          <w:rFonts w:ascii="Arial" w:eastAsia="Arial" w:hAnsi="Arial" w:cs="Arial"/>
          <w:i/>
        </w:rPr>
      </w:pPr>
      <w:r w:rsidRPr="003836A1">
        <w:rPr>
          <w:rFonts w:ascii="Arial" w:eastAsia="Arial" w:hAnsi="Arial" w:cs="Arial"/>
          <w:i/>
        </w:rPr>
        <w:t xml:space="preserve">Sentencia del 24 de julio de 2014, Consejo de Estado, Magistrado Ponente: Fredy Ibarra Martínez, Radicado: </w:t>
      </w:r>
      <w:r w:rsidRPr="003836A1">
        <w:rPr>
          <w:rFonts w:ascii="Arial" w:eastAsia="Arial" w:hAnsi="Arial" w:cs="Arial"/>
          <w:b/>
          <w:i/>
        </w:rPr>
        <w:t>25000-23-410-000-2012-00607-00.</w:t>
      </w:r>
    </w:p>
    <w:p w14:paraId="154A8089" w14:textId="77777777" w:rsidR="00610266" w:rsidRPr="003836A1" w:rsidRDefault="00610266" w:rsidP="003836A1">
      <w:pPr>
        <w:ind w:left="426" w:hanging="12"/>
        <w:jc w:val="both"/>
        <w:rPr>
          <w:rFonts w:ascii="Arial" w:eastAsia="Arial" w:hAnsi="Arial" w:cs="Arial"/>
          <w:i/>
        </w:rPr>
      </w:pPr>
    </w:p>
    <w:p w14:paraId="154A808A" w14:textId="77777777" w:rsidR="00610266" w:rsidRPr="003836A1" w:rsidRDefault="00F95AB8" w:rsidP="003836A1">
      <w:pPr>
        <w:numPr>
          <w:ilvl w:val="0"/>
          <w:numId w:val="1"/>
        </w:numPr>
        <w:pBdr>
          <w:top w:val="nil"/>
          <w:left w:val="nil"/>
          <w:bottom w:val="nil"/>
          <w:right w:val="nil"/>
          <w:between w:val="nil"/>
        </w:pBdr>
        <w:ind w:left="426" w:hanging="12"/>
        <w:jc w:val="both"/>
        <w:rPr>
          <w:rFonts w:ascii="Arial" w:eastAsia="Arial" w:hAnsi="Arial" w:cs="Arial"/>
          <w:i/>
        </w:rPr>
      </w:pPr>
      <w:r w:rsidRPr="003836A1">
        <w:rPr>
          <w:rFonts w:ascii="Arial" w:eastAsia="Arial" w:hAnsi="Arial" w:cs="Arial"/>
          <w:i/>
        </w:rPr>
        <w:t xml:space="preserve">Sentencia del 24 de septiembre de 2015, Consejo de Estado, Magistrada Ponente: María Elizabeth García González, Radicado: </w:t>
      </w:r>
      <w:r w:rsidRPr="003836A1">
        <w:rPr>
          <w:rFonts w:ascii="Arial" w:eastAsia="Arial" w:hAnsi="Arial" w:cs="Arial"/>
          <w:b/>
          <w:i/>
        </w:rPr>
        <w:t>2012-00607-01</w:t>
      </w:r>
    </w:p>
    <w:p w14:paraId="154A808B" w14:textId="77777777" w:rsidR="00610266" w:rsidRPr="003836A1" w:rsidRDefault="00610266" w:rsidP="003836A1">
      <w:pPr>
        <w:ind w:left="426" w:hanging="12"/>
        <w:jc w:val="both"/>
        <w:rPr>
          <w:rFonts w:ascii="Arial" w:eastAsia="Arial" w:hAnsi="Arial" w:cs="Arial"/>
          <w:i/>
        </w:rPr>
      </w:pPr>
    </w:p>
    <w:p w14:paraId="154A808C" w14:textId="77777777" w:rsidR="00610266" w:rsidRPr="003836A1" w:rsidRDefault="00F95AB8" w:rsidP="003836A1">
      <w:pPr>
        <w:numPr>
          <w:ilvl w:val="0"/>
          <w:numId w:val="1"/>
        </w:numPr>
        <w:pBdr>
          <w:top w:val="nil"/>
          <w:left w:val="nil"/>
          <w:bottom w:val="nil"/>
          <w:right w:val="nil"/>
          <w:between w:val="nil"/>
        </w:pBdr>
        <w:ind w:left="426" w:hanging="12"/>
        <w:jc w:val="both"/>
        <w:rPr>
          <w:rFonts w:ascii="Arial" w:eastAsia="Arial" w:hAnsi="Arial" w:cs="Arial"/>
          <w:i/>
        </w:rPr>
      </w:pPr>
      <w:r w:rsidRPr="003836A1">
        <w:rPr>
          <w:rFonts w:ascii="Arial" w:eastAsia="Arial" w:hAnsi="Arial" w:cs="Arial"/>
          <w:i/>
        </w:rPr>
        <w:t xml:space="preserve">Sentencia </w:t>
      </w:r>
      <w:r w:rsidRPr="003836A1">
        <w:rPr>
          <w:rFonts w:ascii="Arial" w:eastAsia="Arial" w:hAnsi="Arial" w:cs="Arial"/>
          <w:b/>
          <w:i/>
        </w:rPr>
        <w:t>T-479 de 2015</w:t>
      </w:r>
      <w:r w:rsidRPr="003836A1">
        <w:rPr>
          <w:rFonts w:ascii="Arial" w:eastAsia="Arial" w:hAnsi="Arial" w:cs="Arial"/>
          <w:i/>
        </w:rPr>
        <w:t>, Corte Constitucional, Magistrado Ponente: Alberto Rojas Ríos, Radicado: T-4.865.276</w:t>
      </w:r>
    </w:p>
    <w:p w14:paraId="154A808D" w14:textId="77777777" w:rsidR="00610266" w:rsidRPr="003836A1" w:rsidRDefault="00610266" w:rsidP="003836A1">
      <w:pPr>
        <w:ind w:left="426" w:hanging="12"/>
        <w:jc w:val="both"/>
        <w:rPr>
          <w:rFonts w:ascii="Arial" w:eastAsia="Arial" w:hAnsi="Arial" w:cs="Arial"/>
          <w:i/>
        </w:rPr>
      </w:pPr>
    </w:p>
    <w:p w14:paraId="154A808E" w14:textId="77777777" w:rsidR="00610266" w:rsidRPr="003836A1" w:rsidRDefault="00F95AB8" w:rsidP="003836A1">
      <w:pPr>
        <w:numPr>
          <w:ilvl w:val="0"/>
          <w:numId w:val="1"/>
        </w:numPr>
        <w:pBdr>
          <w:top w:val="nil"/>
          <w:left w:val="nil"/>
          <w:bottom w:val="nil"/>
          <w:right w:val="nil"/>
          <w:between w:val="nil"/>
        </w:pBdr>
        <w:ind w:left="426" w:hanging="12"/>
        <w:jc w:val="both"/>
        <w:rPr>
          <w:rFonts w:ascii="Arial" w:eastAsia="Arial" w:hAnsi="Arial" w:cs="Arial"/>
          <w:i/>
        </w:rPr>
      </w:pPr>
      <w:r w:rsidRPr="003836A1">
        <w:rPr>
          <w:rFonts w:ascii="Arial" w:eastAsia="Arial" w:hAnsi="Arial" w:cs="Arial"/>
          <w:i/>
        </w:rPr>
        <w:t xml:space="preserve">Sentencia del 5 de abril de 2018, Corte Suprema de Justicia, Magistrado Ponente: Luis Armando Tolosa Villabona, Radicado: </w:t>
      </w:r>
      <w:r w:rsidRPr="003836A1">
        <w:rPr>
          <w:rFonts w:ascii="Arial" w:eastAsia="Arial" w:hAnsi="Arial" w:cs="Arial"/>
          <w:b/>
          <w:i/>
        </w:rPr>
        <w:t>STC4360-2018</w:t>
      </w:r>
    </w:p>
    <w:p w14:paraId="154A808F" w14:textId="77777777" w:rsidR="00610266" w:rsidRPr="003836A1" w:rsidRDefault="00610266" w:rsidP="003836A1">
      <w:pPr>
        <w:ind w:left="426" w:hanging="12"/>
        <w:jc w:val="both"/>
        <w:rPr>
          <w:rFonts w:ascii="Arial" w:eastAsia="Arial" w:hAnsi="Arial" w:cs="Arial"/>
          <w:i/>
        </w:rPr>
      </w:pPr>
    </w:p>
    <w:p w14:paraId="154A8090" w14:textId="77777777" w:rsidR="00610266" w:rsidRPr="003836A1" w:rsidRDefault="00F95AB8" w:rsidP="003836A1">
      <w:pPr>
        <w:numPr>
          <w:ilvl w:val="0"/>
          <w:numId w:val="1"/>
        </w:numPr>
        <w:pBdr>
          <w:top w:val="nil"/>
          <w:left w:val="nil"/>
          <w:bottom w:val="nil"/>
          <w:right w:val="nil"/>
          <w:between w:val="nil"/>
        </w:pBdr>
        <w:ind w:left="426" w:hanging="12"/>
        <w:jc w:val="both"/>
        <w:rPr>
          <w:rFonts w:ascii="Arial" w:eastAsia="Arial" w:hAnsi="Arial" w:cs="Arial"/>
          <w:i/>
        </w:rPr>
      </w:pPr>
      <w:r w:rsidRPr="003836A1">
        <w:rPr>
          <w:rFonts w:ascii="Arial" w:eastAsia="Arial" w:hAnsi="Arial" w:cs="Arial"/>
          <w:i/>
        </w:rPr>
        <w:t xml:space="preserve">Sentencia </w:t>
      </w:r>
      <w:r w:rsidRPr="003836A1">
        <w:rPr>
          <w:rFonts w:ascii="Arial" w:eastAsia="Arial" w:hAnsi="Arial" w:cs="Arial"/>
          <w:b/>
          <w:i/>
        </w:rPr>
        <w:t>C-253 de 2019</w:t>
      </w:r>
      <w:r w:rsidRPr="003836A1">
        <w:rPr>
          <w:rFonts w:ascii="Arial" w:eastAsia="Arial" w:hAnsi="Arial" w:cs="Arial"/>
          <w:i/>
        </w:rPr>
        <w:t>, Corte Constitucional, Magistrado Ponente: Diana Fajardo Rivera, Radicado: D-12690</w:t>
      </w:r>
    </w:p>
    <w:p w14:paraId="154A8091" w14:textId="77777777" w:rsidR="00610266" w:rsidRPr="003836A1" w:rsidRDefault="00610266" w:rsidP="003836A1">
      <w:pPr>
        <w:pBdr>
          <w:top w:val="nil"/>
          <w:left w:val="nil"/>
          <w:bottom w:val="nil"/>
          <w:right w:val="nil"/>
          <w:between w:val="nil"/>
        </w:pBdr>
        <w:jc w:val="both"/>
        <w:rPr>
          <w:rFonts w:ascii="Arial" w:eastAsia="Arial" w:hAnsi="Arial" w:cs="Arial"/>
          <w:i/>
        </w:rPr>
      </w:pPr>
    </w:p>
    <w:p w14:paraId="154A8092" w14:textId="77777777" w:rsidR="00610266" w:rsidRPr="003836A1" w:rsidRDefault="00610266" w:rsidP="003836A1">
      <w:pPr>
        <w:pBdr>
          <w:top w:val="nil"/>
          <w:left w:val="nil"/>
          <w:bottom w:val="nil"/>
          <w:right w:val="nil"/>
          <w:between w:val="nil"/>
        </w:pBdr>
        <w:ind w:left="119"/>
        <w:jc w:val="both"/>
        <w:rPr>
          <w:rFonts w:ascii="Arial" w:eastAsia="Arial" w:hAnsi="Arial" w:cs="Arial"/>
          <w:i/>
        </w:rPr>
      </w:pPr>
    </w:p>
    <w:p w14:paraId="154A8093" w14:textId="77777777" w:rsidR="00610266" w:rsidRPr="003836A1" w:rsidRDefault="00F95AB8" w:rsidP="003836A1">
      <w:pPr>
        <w:pStyle w:val="Ttulo2"/>
        <w:tabs>
          <w:tab w:val="left" w:pos="830"/>
          <w:tab w:val="left" w:pos="831"/>
        </w:tabs>
        <w:ind w:firstLine="119"/>
      </w:pPr>
      <w:r w:rsidRPr="003836A1">
        <w:t>4.6. RESOLUCIONES</w:t>
      </w:r>
    </w:p>
    <w:p w14:paraId="154A8094" w14:textId="77777777" w:rsidR="00610266" w:rsidRPr="003836A1" w:rsidRDefault="00610266" w:rsidP="003836A1">
      <w:pPr>
        <w:pStyle w:val="Ttulo2"/>
        <w:tabs>
          <w:tab w:val="left" w:pos="830"/>
          <w:tab w:val="left" w:pos="831"/>
        </w:tabs>
        <w:ind w:firstLine="119"/>
      </w:pPr>
    </w:p>
    <w:p w14:paraId="154A8095" w14:textId="77777777" w:rsidR="00610266" w:rsidRPr="003836A1" w:rsidRDefault="00F95AB8" w:rsidP="003836A1">
      <w:pPr>
        <w:numPr>
          <w:ilvl w:val="0"/>
          <w:numId w:val="1"/>
        </w:numPr>
        <w:pBdr>
          <w:top w:val="nil"/>
          <w:left w:val="nil"/>
          <w:bottom w:val="nil"/>
          <w:right w:val="nil"/>
          <w:between w:val="nil"/>
        </w:pBdr>
        <w:ind w:left="426" w:hanging="12"/>
        <w:jc w:val="both"/>
        <w:rPr>
          <w:rFonts w:ascii="Arial" w:eastAsia="Arial" w:hAnsi="Arial" w:cs="Arial"/>
          <w:i/>
        </w:rPr>
      </w:pPr>
      <w:r w:rsidRPr="003836A1">
        <w:rPr>
          <w:rFonts w:ascii="Arial" w:eastAsia="Arial" w:hAnsi="Arial" w:cs="Arial"/>
          <w:b/>
          <w:i/>
        </w:rPr>
        <w:t>Resolución 003 de 2022</w:t>
      </w:r>
      <w:r w:rsidRPr="003836A1">
        <w:rPr>
          <w:rFonts w:ascii="Arial" w:eastAsia="Arial" w:hAnsi="Arial" w:cs="Arial"/>
          <w:i/>
        </w:rPr>
        <w:t xml:space="preserve"> Consejo Nacional de Estupefacientes.</w:t>
      </w:r>
    </w:p>
    <w:p w14:paraId="154A8096" w14:textId="77777777" w:rsidR="00610266" w:rsidRPr="003836A1" w:rsidRDefault="00F95AB8" w:rsidP="003836A1">
      <w:pPr>
        <w:numPr>
          <w:ilvl w:val="0"/>
          <w:numId w:val="1"/>
        </w:numPr>
        <w:pBdr>
          <w:top w:val="nil"/>
          <w:left w:val="nil"/>
          <w:bottom w:val="nil"/>
          <w:right w:val="nil"/>
          <w:between w:val="nil"/>
        </w:pBdr>
        <w:ind w:left="426" w:hanging="12"/>
        <w:jc w:val="both"/>
        <w:rPr>
          <w:rFonts w:ascii="Arial" w:eastAsia="Arial" w:hAnsi="Arial" w:cs="Arial"/>
          <w:i/>
        </w:rPr>
      </w:pPr>
      <w:r w:rsidRPr="003836A1">
        <w:rPr>
          <w:rFonts w:ascii="Arial" w:eastAsia="Arial" w:hAnsi="Arial" w:cs="Arial"/>
          <w:b/>
          <w:i/>
        </w:rPr>
        <w:t>Resolución 089 de 2019</w:t>
      </w:r>
      <w:r w:rsidRPr="003836A1">
        <w:rPr>
          <w:rFonts w:ascii="Arial" w:eastAsia="Arial" w:hAnsi="Arial" w:cs="Arial"/>
          <w:i/>
        </w:rPr>
        <w:t xml:space="preserve"> Ministerio de Salud y Protección Social.</w:t>
      </w:r>
    </w:p>
    <w:p w14:paraId="154A8097" w14:textId="77777777" w:rsidR="00610266" w:rsidRPr="003836A1" w:rsidRDefault="00610266" w:rsidP="003836A1">
      <w:pPr>
        <w:pStyle w:val="Ttulo2"/>
        <w:shd w:val="clear" w:color="auto" w:fill="FFFFFF"/>
        <w:ind w:left="426"/>
        <w:rPr>
          <w:b w:val="0"/>
        </w:rPr>
      </w:pPr>
    </w:p>
    <w:p w14:paraId="154A8098" w14:textId="77777777" w:rsidR="00610266" w:rsidRPr="003836A1" w:rsidRDefault="00F95AB8" w:rsidP="003836A1">
      <w:pPr>
        <w:pStyle w:val="Ttulo2"/>
        <w:numPr>
          <w:ilvl w:val="0"/>
          <w:numId w:val="12"/>
        </w:numPr>
        <w:tabs>
          <w:tab w:val="left" w:pos="404"/>
        </w:tabs>
        <w:ind w:hanging="285"/>
        <w:jc w:val="both"/>
      </w:pPr>
      <w:r w:rsidRPr="003836A1">
        <w:t>JUSTIFICACIÓN Y ANÁLISIS DE LA INICIATIVA</w:t>
      </w:r>
    </w:p>
    <w:p w14:paraId="154A8099" w14:textId="77777777" w:rsidR="00610266" w:rsidRPr="003836A1" w:rsidRDefault="00610266" w:rsidP="003836A1">
      <w:pPr>
        <w:pStyle w:val="Ttulo2"/>
        <w:tabs>
          <w:tab w:val="left" w:pos="404"/>
        </w:tabs>
        <w:ind w:left="0"/>
        <w:jc w:val="both"/>
      </w:pPr>
    </w:p>
    <w:p w14:paraId="154A809A" w14:textId="77777777" w:rsidR="00610266" w:rsidRPr="00F525E9" w:rsidRDefault="00F95AB8" w:rsidP="00F525E9">
      <w:pPr>
        <w:pStyle w:val="Prrafodelista"/>
        <w:widowControl/>
        <w:numPr>
          <w:ilvl w:val="1"/>
          <w:numId w:val="12"/>
        </w:numPr>
        <w:pBdr>
          <w:top w:val="nil"/>
          <w:left w:val="nil"/>
          <w:bottom w:val="nil"/>
          <w:right w:val="nil"/>
          <w:between w:val="nil"/>
        </w:pBdr>
        <w:jc w:val="both"/>
        <w:rPr>
          <w:rFonts w:ascii="Arial" w:eastAsia="Arial" w:hAnsi="Arial" w:cs="Arial"/>
          <w:b/>
        </w:rPr>
      </w:pPr>
      <w:r w:rsidRPr="00F525E9">
        <w:rPr>
          <w:rFonts w:ascii="Arial" w:eastAsia="Arial" w:hAnsi="Arial" w:cs="Arial"/>
          <w:b/>
        </w:rPr>
        <w:t xml:space="preserve">Definición de sustancia psicoactiva o droga </w:t>
      </w:r>
    </w:p>
    <w:p w14:paraId="154A809B" w14:textId="77777777" w:rsidR="00610266" w:rsidRPr="003836A1" w:rsidRDefault="00610266" w:rsidP="003836A1">
      <w:pPr>
        <w:jc w:val="both"/>
        <w:rPr>
          <w:rFonts w:ascii="Arial" w:eastAsia="Arial" w:hAnsi="Arial" w:cs="Arial"/>
          <w:b/>
        </w:rPr>
      </w:pPr>
    </w:p>
    <w:p w14:paraId="154A809C"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Las sustancias psicoactivas son aquellas que, introducidas en el organismo, por cualquier vía de administración, altera el sistema nervioso central y puede generar dependencia, bien sea física, psicológica o ambas. Adicionalmente, puede modificar la conciencia, el estado de ánimo y los pensamientos del consumidor. </w:t>
      </w:r>
    </w:p>
    <w:p w14:paraId="154A809D" w14:textId="77777777" w:rsidR="00610266" w:rsidRPr="003836A1" w:rsidRDefault="00610266" w:rsidP="003836A1">
      <w:pPr>
        <w:jc w:val="both"/>
        <w:rPr>
          <w:rFonts w:ascii="Arial" w:eastAsia="Arial" w:hAnsi="Arial" w:cs="Arial"/>
        </w:rPr>
      </w:pPr>
    </w:p>
    <w:p w14:paraId="154A809E"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Actualmente se cuenta con regulaciones para el control y fiscalización del uso de dichas sustancias, para uso recreativo como es el caso del tabaco y el alcohol; para uso farmacológico, como son los analgésicos opiáceos o tranquilizantes. Sin embargo, hay un grupo de sustancias consideradas ilícitas como son la cocaína y sus derivados, y debería ser únicamente autorizado con fines médicos o de investigación. </w:t>
      </w:r>
    </w:p>
    <w:p w14:paraId="154A809F" w14:textId="77777777" w:rsidR="00610266" w:rsidRPr="003836A1" w:rsidRDefault="00610266" w:rsidP="003836A1">
      <w:pPr>
        <w:jc w:val="both"/>
        <w:rPr>
          <w:rFonts w:ascii="Arial" w:eastAsia="Arial" w:hAnsi="Arial" w:cs="Arial"/>
        </w:rPr>
      </w:pPr>
    </w:p>
    <w:p w14:paraId="154A80A0"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El consumo de sustancias psicoactivas conlleva el riesgo de sufrir efectos adversos sobre diferentes órganos y sistemas, como la intoxicación, aumentando el riesgo de lesiones por agresiones o accidentes, así como actos sexuales en condiciones inseguras. </w:t>
      </w:r>
    </w:p>
    <w:p w14:paraId="154A80A1" w14:textId="77777777" w:rsidR="00610266" w:rsidRPr="003836A1" w:rsidRDefault="00610266" w:rsidP="003836A1">
      <w:pPr>
        <w:jc w:val="both"/>
        <w:rPr>
          <w:rFonts w:ascii="Arial" w:eastAsia="Arial" w:hAnsi="Arial" w:cs="Arial"/>
        </w:rPr>
      </w:pPr>
    </w:p>
    <w:p w14:paraId="154A80A2"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La asiduidad en el consumo de estas sustancias promueve la dependencia, convirtiéndose en trastornos crónicos y recurrentes, que se da por la necesidad intensa de la sustancia y pérdida de la capacidad de controlar su consumo, pese a las problemáticas que estas generan. </w:t>
      </w:r>
    </w:p>
    <w:p w14:paraId="154A80A3" w14:textId="77777777" w:rsidR="00610266" w:rsidRPr="003836A1" w:rsidRDefault="00610266" w:rsidP="003836A1">
      <w:pPr>
        <w:jc w:val="both"/>
        <w:rPr>
          <w:rFonts w:ascii="Arial" w:eastAsia="Arial" w:hAnsi="Arial" w:cs="Arial"/>
        </w:rPr>
      </w:pPr>
    </w:p>
    <w:p w14:paraId="154A80A4"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Los trastornos causados por el uso de sustancias psicoactivas además de la dependencia pueden causar discapacidad y problemas crónicos de salud, que no solo afectan al consumidor, sino a sus familias. </w:t>
      </w:r>
    </w:p>
    <w:p w14:paraId="154A80A5" w14:textId="77777777" w:rsidR="00610266" w:rsidRPr="003836A1" w:rsidRDefault="00610266" w:rsidP="003836A1">
      <w:pPr>
        <w:jc w:val="both"/>
        <w:rPr>
          <w:rFonts w:ascii="Arial" w:eastAsia="Arial" w:hAnsi="Arial" w:cs="Arial"/>
        </w:rPr>
      </w:pPr>
    </w:p>
    <w:p w14:paraId="154A80A6"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Se conocen diversas intervenciones basadas en evidencia científica, que son efectivas en la disminución del uso de sustancias, previniendo el uso, abordando anticipadamente la población en riesgo, tratando la dependencia o los efectos secundarios del uso de estas sustancias y propendiendo por la recuperación del usuario. (Organización Panamericana de Salud, s.f.) </w:t>
      </w:r>
    </w:p>
    <w:p w14:paraId="154A80A7" w14:textId="77777777" w:rsidR="00610266" w:rsidRPr="003836A1" w:rsidRDefault="00610266" w:rsidP="003836A1">
      <w:pPr>
        <w:jc w:val="both"/>
        <w:rPr>
          <w:rFonts w:ascii="Arial" w:eastAsia="Arial" w:hAnsi="Arial" w:cs="Arial"/>
        </w:rPr>
      </w:pPr>
    </w:p>
    <w:p w14:paraId="154A80A8" w14:textId="77777777" w:rsidR="00610266" w:rsidRPr="003836A1" w:rsidRDefault="00F95AB8" w:rsidP="003836A1">
      <w:pPr>
        <w:jc w:val="both"/>
        <w:rPr>
          <w:rFonts w:ascii="Arial" w:eastAsia="Arial" w:hAnsi="Arial" w:cs="Arial"/>
        </w:rPr>
      </w:pPr>
      <w:r w:rsidRPr="003836A1">
        <w:rPr>
          <w:rFonts w:ascii="Arial" w:eastAsia="Arial" w:hAnsi="Arial" w:cs="Arial"/>
        </w:rPr>
        <w:t>Para ahondar en el tema de las definiciones debemos también remitirnos a la Resolución N° 003 de 2022 expedida por el Consejo Nacional de Estupefacientes, mediante la cual se definen las sustancias psicoactivas que crean dependencia e impactan la salud, según lo establece el parágrafo </w:t>
      </w:r>
      <w:hyperlink r:id="rId93" w:anchor="2.p.4">
        <w:r w:rsidRPr="003836A1">
          <w:rPr>
            <w:rFonts w:ascii="Arial" w:eastAsia="Arial" w:hAnsi="Arial" w:cs="Arial"/>
          </w:rPr>
          <w:t>4°</w:t>
        </w:r>
      </w:hyperlink>
      <w:r w:rsidRPr="003836A1">
        <w:rPr>
          <w:rFonts w:ascii="Arial" w:eastAsia="Arial" w:hAnsi="Arial" w:cs="Arial"/>
        </w:rPr>
        <w:t> del artículo 2° de la Ley 2000 de 2019, se definen las sustancias psicoactivas que crean dependencia e impactan la salud.</w:t>
      </w:r>
    </w:p>
    <w:p w14:paraId="154A80A9" w14:textId="77777777" w:rsidR="00610266" w:rsidRPr="003836A1" w:rsidRDefault="00610266" w:rsidP="003836A1">
      <w:pPr>
        <w:jc w:val="both"/>
        <w:rPr>
          <w:rFonts w:ascii="Arial" w:eastAsia="Arial" w:hAnsi="Arial" w:cs="Arial"/>
        </w:rPr>
      </w:pPr>
    </w:p>
    <w:p w14:paraId="154A80AA" w14:textId="77777777" w:rsidR="00610266" w:rsidRPr="003836A1" w:rsidRDefault="00F95AB8" w:rsidP="003836A1">
      <w:pPr>
        <w:shd w:val="clear" w:color="auto" w:fill="FFFFFF"/>
        <w:jc w:val="both"/>
        <w:rPr>
          <w:rFonts w:ascii="Arial" w:eastAsia="Arial" w:hAnsi="Arial" w:cs="Arial"/>
        </w:rPr>
      </w:pPr>
      <w:r w:rsidRPr="003836A1">
        <w:rPr>
          <w:rFonts w:ascii="Arial" w:eastAsia="Arial" w:hAnsi="Arial" w:cs="Arial"/>
        </w:rPr>
        <w:t>Dentro de los considerandos de dicha Resolución se puede evidenciar el oficio número 202121001622081 remitido por el Ministerio de Salud y Protección Social al Ministerio de Justicia y del Derecho identificado MJD-EXT21-0047086, y el cual tenía por asunto:</w:t>
      </w:r>
    </w:p>
    <w:p w14:paraId="154A80AB" w14:textId="77777777" w:rsidR="00610266" w:rsidRPr="003836A1" w:rsidRDefault="00F95AB8" w:rsidP="003836A1">
      <w:pPr>
        <w:shd w:val="clear" w:color="auto" w:fill="FFFFFF"/>
        <w:jc w:val="both"/>
        <w:rPr>
          <w:rFonts w:ascii="Arial" w:eastAsia="Arial" w:hAnsi="Arial" w:cs="Arial"/>
        </w:rPr>
      </w:pPr>
      <w:r w:rsidRPr="003836A1">
        <w:rPr>
          <w:rFonts w:ascii="Arial" w:eastAsia="Arial" w:hAnsi="Arial" w:cs="Arial"/>
          <w:i/>
        </w:rPr>
        <w:t> </w:t>
      </w:r>
    </w:p>
    <w:p w14:paraId="154A80AC" w14:textId="77777777" w:rsidR="00610266" w:rsidRPr="003836A1" w:rsidRDefault="00F95AB8" w:rsidP="003836A1">
      <w:pPr>
        <w:shd w:val="clear" w:color="auto" w:fill="FFFFFF"/>
        <w:ind w:left="851" w:right="571"/>
        <w:jc w:val="both"/>
        <w:rPr>
          <w:rFonts w:ascii="Arial" w:eastAsia="Arial" w:hAnsi="Arial" w:cs="Arial"/>
          <w:i/>
        </w:rPr>
      </w:pPr>
      <w:r w:rsidRPr="003836A1">
        <w:rPr>
          <w:rFonts w:ascii="Arial" w:eastAsia="Arial" w:hAnsi="Arial" w:cs="Arial"/>
          <w:i/>
        </w:rPr>
        <w:t>“Información técnica sobre los compromisos adquiridos en el artículo 1° de la Ley 2000 de 2019: Definición de las sustancias psicoactivas que creen dependencia e impacten en la salud, así como sus dosis mínimas permitidas” en el que se destaca lo siguiente:</w:t>
      </w:r>
    </w:p>
    <w:p w14:paraId="154A80AD" w14:textId="77777777" w:rsidR="00610266" w:rsidRPr="003836A1" w:rsidRDefault="00F95AB8" w:rsidP="003836A1">
      <w:pPr>
        <w:shd w:val="clear" w:color="auto" w:fill="FFFFFF"/>
        <w:ind w:left="851" w:right="571"/>
        <w:jc w:val="both"/>
        <w:rPr>
          <w:rFonts w:ascii="Arial" w:eastAsia="Arial" w:hAnsi="Arial" w:cs="Arial"/>
        </w:rPr>
      </w:pPr>
      <w:r w:rsidRPr="003836A1">
        <w:rPr>
          <w:rFonts w:ascii="Arial" w:eastAsia="Arial" w:hAnsi="Arial" w:cs="Arial"/>
          <w:i/>
        </w:rPr>
        <w:t> </w:t>
      </w:r>
    </w:p>
    <w:p w14:paraId="154A80AE" w14:textId="77777777" w:rsidR="00610266" w:rsidRPr="003836A1" w:rsidRDefault="00F95AB8" w:rsidP="003836A1">
      <w:pPr>
        <w:shd w:val="clear" w:color="auto" w:fill="FFFFFF"/>
        <w:ind w:left="851" w:right="571"/>
        <w:jc w:val="both"/>
        <w:rPr>
          <w:rFonts w:ascii="Arial" w:eastAsia="Arial" w:hAnsi="Arial" w:cs="Arial"/>
        </w:rPr>
      </w:pPr>
      <w:bookmarkStart w:id="18" w:name="_heading=h.44sinio" w:colFirst="0" w:colLast="0"/>
      <w:bookmarkEnd w:id="18"/>
      <w:r w:rsidRPr="003836A1">
        <w:rPr>
          <w:rFonts w:ascii="Arial" w:eastAsia="Arial" w:hAnsi="Arial" w:cs="Arial"/>
          <w:i/>
        </w:rPr>
        <w:t xml:space="preserve">“En relación a la reglamentación del parágrafo del artículo 2°, en el contexto de la definición conjunta con el Consejo Nacional de Estupefacientes sobre las sustancias psicoactivas que generen dependencia e impacten en la salud, </w:t>
      </w:r>
      <w:r w:rsidRPr="003836A1">
        <w:rPr>
          <w:rFonts w:ascii="Arial" w:eastAsia="Arial" w:hAnsi="Arial" w:cs="Arial"/>
          <w:b/>
          <w:i/>
          <w:u w:val="single"/>
        </w:rPr>
        <w:t>nos permitimos citar en primera medida la definición de sustancia psicoactiva, la que hace referencia a aquella que introducida en el organismo vivo, puede modificar una o más de las funciones cognitivas, emocionales, psicológicas de este y que actúa sobre el sistema nervioso central produciendo efectos neuro-psicofisiológicos</w:t>
      </w:r>
      <w:hyperlink r:id="rId94" w:anchor="_ftn1">
        <w:r w:rsidRPr="003836A1">
          <w:rPr>
            <w:rFonts w:ascii="Arial" w:eastAsia="Arial" w:hAnsi="Arial" w:cs="Arial"/>
            <w:b/>
            <w:i/>
            <w:u w:val="single"/>
            <w:vertAlign w:val="superscript"/>
          </w:rPr>
          <w:t>[1]</w:t>
        </w:r>
      </w:hyperlink>
      <w:r w:rsidRPr="003836A1">
        <w:rPr>
          <w:rFonts w:ascii="Arial" w:eastAsia="Arial" w:hAnsi="Arial" w:cs="Arial"/>
          <w:i/>
        </w:rPr>
        <w:t>. El término psicoactivo no implica necesariamente que produzca dependencia. (subrayado y negrilla por fuera de texto)</w:t>
      </w:r>
    </w:p>
    <w:p w14:paraId="154A80AF" w14:textId="77777777" w:rsidR="00610266" w:rsidRPr="003836A1" w:rsidRDefault="00F95AB8" w:rsidP="003836A1">
      <w:pPr>
        <w:shd w:val="clear" w:color="auto" w:fill="FFFFFF"/>
        <w:ind w:left="851" w:right="571"/>
        <w:jc w:val="both"/>
        <w:rPr>
          <w:rFonts w:ascii="Arial" w:eastAsia="Arial" w:hAnsi="Arial" w:cs="Arial"/>
        </w:rPr>
      </w:pPr>
      <w:r w:rsidRPr="003836A1">
        <w:rPr>
          <w:rFonts w:ascii="Arial" w:eastAsia="Arial" w:hAnsi="Arial" w:cs="Arial"/>
          <w:i/>
        </w:rPr>
        <w:t> </w:t>
      </w:r>
    </w:p>
    <w:p w14:paraId="154A80B0" w14:textId="77777777" w:rsidR="00610266" w:rsidRPr="003836A1" w:rsidRDefault="00F95AB8" w:rsidP="003836A1">
      <w:pPr>
        <w:shd w:val="clear" w:color="auto" w:fill="FFFFFF"/>
        <w:ind w:left="851" w:right="571"/>
        <w:jc w:val="both"/>
        <w:rPr>
          <w:rFonts w:ascii="Arial" w:eastAsia="Arial" w:hAnsi="Arial" w:cs="Arial"/>
        </w:rPr>
      </w:pPr>
      <w:bookmarkStart w:id="19" w:name="_heading=h.2jxsxqh" w:colFirst="0" w:colLast="0"/>
      <w:bookmarkEnd w:id="19"/>
      <w:r w:rsidRPr="003836A1">
        <w:rPr>
          <w:rFonts w:ascii="Arial" w:eastAsia="Arial" w:hAnsi="Arial" w:cs="Arial"/>
          <w:i/>
        </w:rPr>
        <w:t>El consumo de sustancias psicoactivas afecta principalmente el funcionamiento cerebral, campo que experimenta grandes cambios durante la infancia y adolescencia, su inicio a edades tempranas, muchas veces inmerso en entornos de vida y redes de apoyo que inciden de manera negativa, afecta su proceso de crecimiento y desarrollo, generando impacto a nivel individual, familiar y social</w:t>
      </w:r>
      <w:hyperlink r:id="rId95" w:anchor="_ftn2">
        <w:r w:rsidRPr="003836A1">
          <w:rPr>
            <w:rFonts w:ascii="Arial" w:eastAsia="Arial" w:hAnsi="Arial" w:cs="Arial"/>
            <w:b/>
            <w:i/>
            <w:u w:val="single"/>
            <w:vertAlign w:val="superscript"/>
          </w:rPr>
          <w:t>[2]</w:t>
        </w:r>
      </w:hyperlink>
      <w:r w:rsidRPr="003836A1">
        <w:rPr>
          <w:rFonts w:ascii="Arial" w:eastAsia="Arial" w:hAnsi="Arial" w:cs="Arial"/>
          <w:i/>
        </w:rPr>
        <w:t>. Por lo anterior, cualquier consumo de sustancias psicoactivas legales o ilegales en niñas, niños y adolescentes genera serias consecuencias en la salud y el desarrollo humano.</w:t>
      </w:r>
    </w:p>
    <w:p w14:paraId="154A80B1" w14:textId="77777777" w:rsidR="00610266" w:rsidRPr="003836A1" w:rsidRDefault="00610266" w:rsidP="003836A1">
      <w:pPr>
        <w:shd w:val="clear" w:color="auto" w:fill="FFFFFF"/>
        <w:ind w:left="851" w:right="571"/>
        <w:jc w:val="both"/>
        <w:rPr>
          <w:rFonts w:ascii="Arial" w:eastAsia="Arial" w:hAnsi="Arial" w:cs="Arial"/>
          <w:u w:val="single"/>
        </w:rPr>
      </w:pPr>
    </w:p>
    <w:p w14:paraId="154A80B2" w14:textId="77777777" w:rsidR="00610266" w:rsidRPr="003836A1" w:rsidRDefault="00F95AB8" w:rsidP="003836A1">
      <w:pPr>
        <w:shd w:val="clear" w:color="auto" w:fill="FFFFFF"/>
        <w:ind w:left="851" w:right="571"/>
        <w:jc w:val="both"/>
        <w:rPr>
          <w:rFonts w:ascii="Arial" w:eastAsia="Arial" w:hAnsi="Arial" w:cs="Arial"/>
        </w:rPr>
      </w:pPr>
      <w:r w:rsidRPr="003836A1">
        <w:rPr>
          <w:rFonts w:ascii="Arial" w:eastAsia="Arial" w:hAnsi="Arial" w:cs="Arial"/>
          <w:i/>
        </w:rPr>
        <w:t>Existe una amplia variedad de sustancias psicoactivas, algunas de ellas generan dependencia, la cual es definida como un grupo de síntomas fisiológicos, cognitivos y comportamentales que indican que una persona presenta un deterioro del control sobre el consumo de la sustancia y que sigue consumiéndola a pesar de las consecuencias adversas a nivel individual, familiar y social. Adicionalmente, para comprender esta definición es importante considerar los conceptos de tolerancia y abstinencia. Entendiéndose por tolerancia la disminución de la respuesta a una dosis concreta de una sustancia que se produce con el uso continuado, en donde factores fisiológicos y psicosociales pueden contribuir al desarrollo de tolerancia, que puede ser física, psicológica o conductual.</w:t>
      </w:r>
    </w:p>
    <w:p w14:paraId="154A80B3" w14:textId="77777777" w:rsidR="00610266" w:rsidRPr="003836A1" w:rsidRDefault="00F95AB8" w:rsidP="003836A1">
      <w:pPr>
        <w:shd w:val="clear" w:color="auto" w:fill="FFFFFF"/>
        <w:ind w:left="851" w:right="571"/>
        <w:jc w:val="both"/>
        <w:rPr>
          <w:rFonts w:ascii="Arial" w:eastAsia="Arial" w:hAnsi="Arial" w:cs="Arial"/>
        </w:rPr>
      </w:pPr>
      <w:r w:rsidRPr="003836A1">
        <w:rPr>
          <w:rFonts w:ascii="Arial" w:eastAsia="Arial" w:hAnsi="Arial" w:cs="Arial"/>
        </w:rPr>
        <w:t> </w:t>
      </w:r>
    </w:p>
    <w:p w14:paraId="154A80B4" w14:textId="77777777" w:rsidR="00610266" w:rsidRPr="003836A1" w:rsidRDefault="00F95AB8" w:rsidP="003836A1">
      <w:pPr>
        <w:shd w:val="clear" w:color="auto" w:fill="FFFFFF"/>
        <w:ind w:left="851" w:right="571"/>
        <w:jc w:val="both"/>
        <w:rPr>
          <w:rFonts w:ascii="Arial" w:eastAsia="Arial" w:hAnsi="Arial" w:cs="Arial"/>
        </w:rPr>
      </w:pPr>
      <w:bookmarkStart w:id="20" w:name="_heading=h.z337ya" w:colFirst="0" w:colLast="0"/>
      <w:bookmarkEnd w:id="20"/>
      <w:r w:rsidRPr="003836A1">
        <w:rPr>
          <w:rFonts w:ascii="Arial" w:eastAsia="Arial" w:hAnsi="Arial" w:cs="Arial"/>
          <w:i/>
        </w:rPr>
        <w:t>Por su parte, abstinencia se refiere al conjunto de signos y síntomas que se presentan al disminuir o suspender la dosis habitual. Algunas abstinencias pueden poner en riesgo la vida de las personas como la abstinencia al alcohol, las benzodiacepinas y los opioides entre otras sustancias, además de afectar la calidad de vida, el desarrollo individual, familiar y social</w:t>
      </w:r>
      <w:hyperlink r:id="rId96" w:anchor="_ftn3">
        <w:r w:rsidRPr="003836A1">
          <w:rPr>
            <w:rFonts w:ascii="Arial" w:eastAsia="Arial" w:hAnsi="Arial" w:cs="Arial"/>
            <w:b/>
            <w:i/>
            <w:vertAlign w:val="superscript"/>
          </w:rPr>
          <w:t>[3]</w:t>
        </w:r>
      </w:hyperlink>
      <w:r w:rsidRPr="003836A1">
        <w:rPr>
          <w:rFonts w:ascii="Arial" w:eastAsia="Arial" w:hAnsi="Arial" w:cs="Arial"/>
          <w:i/>
        </w:rPr>
        <w:t>.</w:t>
      </w:r>
    </w:p>
    <w:p w14:paraId="154A80B5" w14:textId="77777777" w:rsidR="00610266" w:rsidRPr="003836A1" w:rsidRDefault="00610266" w:rsidP="003836A1">
      <w:pPr>
        <w:shd w:val="clear" w:color="auto" w:fill="FFFFFF"/>
        <w:ind w:left="851" w:right="571"/>
        <w:jc w:val="both"/>
        <w:rPr>
          <w:rFonts w:ascii="Arial" w:eastAsia="Arial" w:hAnsi="Arial" w:cs="Arial"/>
        </w:rPr>
      </w:pPr>
    </w:p>
    <w:p w14:paraId="154A80B6" w14:textId="77777777" w:rsidR="00610266" w:rsidRPr="003836A1" w:rsidRDefault="00F95AB8" w:rsidP="003836A1">
      <w:pPr>
        <w:shd w:val="clear" w:color="auto" w:fill="FFFFFF"/>
        <w:ind w:left="851" w:right="571"/>
        <w:jc w:val="both"/>
        <w:rPr>
          <w:rFonts w:ascii="Arial" w:eastAsia="Arial" w:hAnsi="Arial" w:cs="Arial"/>
        </w:rPr>
      </w:pPr>
      <w:r w:rsidRPr="003836A1">
        <w:rPr>
          <w:rFonts w:ascii="Arial" w:eastAsia="Arial" w:hAnsi="Arial" w:cs="Arial"/>
          <w:b/>
          <w:i/>
          <w:u w:val="single"/>
        </w:rPr>
        <w:t>El uso y abuso de sustancias psicoactivas es una problemática a nivel mundial, que incluye una gran diversidad de sustancias de origen natural o clásico, así como de nuevas sustancias psicoactivas, drogas sintéticas o amenazas emergentes; 120 países han informado la presencia de un total de 920 nuevas sustancias psicoactivas agrupadas según su mecanismo de acción (Volumen II de enero 2020. Reporte de nuevas sustancias psicoactivas de la Oficina de las Naciones Unidas Contra la Droga y el Delito).</w:t>
      </w:r>
      <w:r w:rsidRPr="003836A1">
        <w:rPr>
          <w:rFonts w:ascii="Arial" w:eastAsia="Arial" w:hAnsi="Arial" w:cs="Arial"/>
          <w:i/>
        </w:rPr>
        <w:t xml:space="preserve"> En Colombia, a través del Sistema de Alertas Tempranas del Observatorio de Drogas se ha detectado la presencia de </w:t>
      </w:r>
      <w:r w:rsidRPr="003836A1">
        <w:rPr>
          <w:rFonts w:ascii="Arial" w:eastAsia="Arial" w:hAnsi="Arial" w:cs="Arial"/>
          <w:b/>
          <w:i/>
          <w:u w:val="single"/>
        </w:rPr>
        <w:t>41 nuevas sustancias psicoactivas</w:t>
      </w:r>
      <w:r w:rsidRPr="003836A1">
        <w:rPr>
          <w:rFonts w:ascii="Arial" w:eastAsia="Arial" w:hAnsi="Arial" w:cs="Arial"/>
          <w:i/>
        </w:rPr>
        <w:t>. Debido a su presentación, la vicisitud en establecer unidades de medida, volumen o peso para cada una de ellas (gramos, miligramos, microgramos, mililitros...) es limitado establecer dosis mínimas en este caso. (…)” (subrayado y negrilla por fuera de texto)</w:t>
      </w:r>
    </w:p>
    <w:p w14:paraId="154A80B7" w14:textId="77777777" w:rsidR="00610266" w:rsidRPr="003836A1" w:rsidRDefault="00610266" w:rsidP="003836A1">
      <w:pPr>
        <w:jc w:val="both"/>
        <w:rPr>
          <w:rFonts w:ascii="Arial" w:eastAsia="Arial" w:hAnsi="Arial" w:cs="Arial"/>
        </w:rPr>
      </w:pPr>
    </w:p>
    <w:p w14:paraId="154A80B8" w14:textId="77777777" w:rsidR="00610266" w:rsidRPr="003836A1" w:rsidRDefault="00F95AB8" w:rsidP="003836A1">
      <w:pPr>
        <w:jc w:val="both"/>
        <w:rPr>
          <w:rFonts w:ascii="Arial" w:eastAsia="Arial" w:hAnsi="Arial" w:cs="Arial"/>
        </w:rPr>
      </w:pPr>
      <w:r w:rsidRPr="003836A1">
        <w:rPr>
          <w:rFonts w:ascii="Arial" w:eastAsia="Arial" w:hAnsi="Arial" w:cs="Arial"/>
        </w:rPr>
        <w:t>Por otro lado, el mismo Ministerio de Justicia y del Derecho en su portal web</w:t>
      </w:r>
      <w:r w:rsidRPr="003836A1">
        <w:rPr>
          <w:rFonts w:ascii="Arial" w:eastAsia="Arial" w:hAnsi="Arial" w:cs="Arial"/>
          <w:vertAlign w:val="superscript"/>
        </w:rPr>
        <w:footnoteReference w:id="1"/>
      </w:r>
      <w:r w:rsidRPr="003836A1">
        <w:rPr>
          <w:rFonts w:ascii="Arial" w:eastAsia="Arial" w:hAnsi="Arial" w:cs="Arial"/>
        </w:rPr>
        <w:t xml:space="preserve"> nos muestra las diferentes formas de clasificación de esas sustancias psicoactivas, de donde se podrían destacar las siguientes:</w:t>
      </w:r>
    </w:p>
    <w:p w14:paraId="154A80B9" w14:textId="77777777" w:rsidR="00610266" w:rsidRPr="003836A1" w:rsidRDefault="00610266" w:rsidP="003836A1">
      <w:pPr>
        <w:shd w:val="clear" w:color="auto" w:fill="FFFFFF"/>
        <w:jc w:val="both"/>
        <w:rPr>
          <w:rFonts w:ascii="Arial" w:eastAsia="Arial" w:hAnsi="Arial" w:cs="Arial"/>
        </w:rPr>
      </w:pPr>
    </w:p>
    <w:p w14:paraId="154A80BA" w14:textId="77777777" w:rsidR="00610266" w:rsidRPr="003836A1" w:rsidRDefault="00F95AB8" w:rsidP="003836A1">
      <w:pPr>
        <w:shd w:val="clear" w:color="auto" w:fill="FFFFFF"/>
        <w:jc w:val="both"/>
        <w:rPr>
          <w:rFonts w:ascii="Arial" w:eastAsia="Arial" w:hAnsi="Arial" w:cs="Arial"/>
          <w:i/>
        </w:rPr>
      </w:pPr>
      <w:r w:rsidRPr="003836A1">
        <w:rPr>
          <w:rFonts w:ascii="Arial" w:eastAsia="Arial" w:hAnsi="Arial" w:cs="Arial"/>
        </w:rPr>
        <w:t xml:space="preserve">La primera categoría tiene que ver con sus </w:t>
      </w:r>
      <w:r w:rsidRPr="003836A1">
        <w:rPr>
          <w:rFonts w:ascii="Arial" w:eastAsia="Arial" w:hAnsi="Arial" w:cs="Arial"/>
          <w:b/>
        </w:rPr>
        <w:t>efectos en el sistema nervioso central</w:t>
      </w:r>
      <w:r w:rsidRPr="003836A1">
        <w:rPr>
          <w:rFonts w:ascii="Arial" w:eastAsia="Arial" w:hAnsi="Arial" w:cs="Arial"/>
        </w:rPr>
        <w:t xml:space="preserve">, donde se encuentran las </w:t>
      </w:r>
      <w:r w:rsidRPr="003836A1">
        <w:rPr>
          <w:rFonts w:ascii="Arial" w:eastAsia="Arial" w:hAnsi="Arial" w:cs="Arial"/>
          <w:b/>
        </w:rPr>
        <w:t>estimulantes</w:t>
      </w:r>
      <w:r w:rsidRPr="003836A1">
        <w:rPr>
          <w:rFonts w:ascii="Arial" w:eastAsia="Arial" w:hAnsi="Arial" w:cs="Arial"/>
        </w:rPr>
        <w:t xml:space="preserve"> </w:t>
      </w:r>
      <w:r w:rsidRPr="003836A1">
        <w:rPr>
          <w:rFonts w:ascii="Arial" w:eastAsia="Arial" w:hAnsi="Arial" w:cs="Arial"/>
          <w:i/>
        </w:rPr>
        <w:t>(Excitan la actividad psíquica y del sistema nervioso central y adicionalmente incrementan el ritmo de otros órganos y sistemas orgánicos),</w:t>
      </w:r>
      <w:r w:rsidRPr="003836A1">
        <w:rPr>
          <w:rFonts w:ascii="Arial" w:eastAsia="Arial" w:hAnsi="Arial" w:cs="Arial"/>
        </w:rPr>
        <w:t xml:space="preserve"> las </w:t>
      </w:r>
      <w:r w:rsidRPr="003836A1">
        <w:rPr>
          <w:rFonts w:ascii="Arial" w:eastAsia="Arial" w:hAnsi="Arial" w:cs="Arial"/>
          <w:b/>
        </w:rPr>
        <w:t>depresoras</w:t>
      </w:r>
      <w:r w:rsidRPr="003836A1">
        <w:rPr>
          <w:rFonts w:ascii="Arial" w:eastAsia="Arial" w:hAnsi="Arial" w:cs="Arial"/>
        </w:rPr>
        <w:t xml:space="preserve"> </w:t>
      </w:r>
      <w:r w:rsidRPr="003836A1">
        <w:rPr>
          <w:rFonts w:ascii="Arial" w:eastAsia="Arial" w:hAnsi="Arial" w:cs="Arial"/>
          <w:i/>
        </w:rPr>
        <w:t>(Disminuye el ritmo de las funciones corporales, de la actividad psíquica y del sistema nervioso central. Estas sustancias son también llamadas psicolépticas.),</w:t>
      </w:r>
      <w:r w:rsidRPr="003836A1">
        <w:rPr>
          <w:rFonts w:ascii="Arial" w:eastAsia="Arial" w:hAnsi="Arial" w:cs="Arial"/>
        </w:rPr>
        <w:t xml:space="preserve"> y las </w:t>
      </w:r>
      <w:r w:rsidRPr="003836A1">
        <w:rPr>
          <w:rFonts w:ascii="Arial" w:eastAsia="Arial" w:hAnsi="Arial" w:cs="Arial"/>
          <w:b/>
        </w:rPr>
        <w:t>alucinógenas</w:t>
      </w:r>
      <w:r w:rsidRPr="003836A1">
        <w:rPr>
          <w:rFonts w:ascii="Arial" w:eastAsia="Arial" w:hAnsi="Arial" w:cs="Arial"/>
        </w:rPr>
        <w:t xml:space="preserve"> </w:t>
      </w:r>
      <w:r w:rsidRPr="003836A1">
        <w:rPr>
          <w:rFonts w:ascii="Arial" w:eastAsia="Arial" w:hAnsi="Arial" w:cs="Arial"/>
          <w:i/>
        </w:rPr>
        <w:t>(Capaz de alterar y distorsionar la percepción sensorial del individuo, interferir su estado de conciencia y sus facultades cognitivas, pueden generar alucinaciones.)</w:t>
      </w:r>
    </w:p>
    <w:p w14:paraId="154A80BB" w14:textId="77777777" w:rsidR="00610266" w:rsidRPr="003836A1" w:rsidRDefault="00610266" w:rsidP="003836A1">
      <w:pPr>
        <w:shd w:val="clear" w:color="auto" w:fill="FFFFFF"/>
        <w:jc w:val="both"/>
        <w:rPr>
          <w:rFonts w:ascii="Arial" w:eastAsia="Arial" w:hAnsi="Arial" w:cs="Arial"/>
        </w:rPr>
      </w:pPr>
    </w:p>
    <w:p w14:paraId="154A80BC"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Ahora bien, por su </w:t>
      </w:r>
      <w:r w:rsidRPr="003836A1">
        <w:rPr>
          <w:rFonts w:ascii="Arial" w:eastAsia="Arial" w:hAnsi="Arial" w:cs="Arial"/>
          <w:b/>
        </w:rPr>
        <w:t xml:space="preserve">origen </w:t>
      </w:r>
      <w:r w:rsidRPr="003836A1">
        <w:rPr>
          <w:rFonts w:ascii="Arial" w:eastAsia="Arial" w:hAnsi="Arial" w:cs="Arial"/>
        </w:rPr>
        <w:t xml:space="preserve">tenemos las de origen </w:t>
      </w:r>
      <w:r w:rsidRPr="003836A1">
        <w:rPr>
          <w:rFonts w:ascii="Arial" w:eastAsia="Arial" w:hAnsi="Arial" w:cs="Arial"/>
          <w:b/>
        </w:rPr>
        <w:t>natural y sintéticas</w:t>
      </w:r>
      <w:r w:rsidRPr="003836A1">
        <w:rPr>
          <w:rFonts w:ascii="Arial" w:eastAsia="Arial" w:hAnsi="Arial" w:cs="Arial"/>
        </w:rPr>
        <w:t>, en donde es evidente que las primeras se encuentran de forma natural en el ambiente, y las segundas son elaboradas exclusivamente en laboratorios. Y para finalizar nos indican que existe otra clasificación que es necesaria explicar como que unas son licitas y otras por ende ilícitas.</w:t>
      </w:r>
    </w:p>
    <w:p w14:paraId="154A80BD" w14:textId="77777777" w:rsidR="00610266" w:rsidRPr="003836A1" w:rsidRDefault="00610266" w:rsidP="003836A1">
      <w:pPr>
        <w:jc w:val="both"/>
        <w:rPr>
          <w:rFonts w:ascii="Arial" w:eastAsia="Arial" w:hAnsi="Arial" w:cs="Arial"/>
        </w:rPr>
      </w:pPr>
    </w:p>
    <w:p w14:paraId="154A80BE" w14:textId="77777777" w:rsidR="00610266" w:rsidRPr="00F525E9" w:rsidRDefault="00F525E9" w:rsidP="00F525E9">
      <w:pPr>
        <w:pStyle w:val="Prrafodelista"/>
        <w:widowControl/>
        <w:numPr>
          <w:ilvl w:val="1"/>
          <w:numId w:val="12"/>
        </w:numPr>
        <w:pBdr>
          <w:top w:val="nil"/>
          <w:left w:val="nil"/>
          <w:bottom w:val="nil"/>
          <w:right w:val="nil"/>
          <w:between w:val="nil"/>
        </w:pBdr>
        <w:jc w:val="both"/>
        <w:rPr>
          <w:rFonts w:ascii="Arial" w:eastAsia="Arial" w:hAnsi="Arial" w:cs="Arial"/>
          <w:b/>
        </w:rPr>
      </w:pPr>
      <w:r>
        <w:rPr>
          <w:rFonts w:ascii="Arial" w:eastAsia="Arial" w:hAnsi="Arial" w:cs="Arial"/>
          <w:b/>
        </w:rPr>
        <w:t>Sit</w:t>
      </w:r>
      <w:r w:rsidR="00F95AB8" w:rsidRPr="00F525E9">
        <w:rPr>
          <w:rFonts w:ascii="Arial" w:eastAsia="Arial" w:hAnsi="Arial" w:cs="Arial"/>
          <w:b/>
        </w:rPr>
        <w:t xml:space="preserve">uación del consumo de drogas en Colombia </w:t>
      </w:r>
    </w:p>
    <w:p w14:paraId="154A80BF" w14:textId="77777777" w:rsidR="00610266" w:rsidRPr="003836A1" w:rsidRDefault="00610266" w:rsidP="003836A1">
      <w:pPr>
        <w:pBdr>
          <w:top w:val="nil"/>
          <w:left w:val="nil"/>
          <w:bottom w:val="nil"/>
          <w:right w:val="nil"/>
          <w:between w:val="nil"/>
        </w:pBdr>
        <w:ind w:left="720"/>
        <w:jc w:val="both"/>
        <w:rPr>
          <w:rFonts w:ascii="Arial" w:eastAsia="Arial" w:hAnsi="Arial" w:cs="Arial"/>
        </w:rPr>
      </w:pPr>
    </w:p>
    <w:p w14:paraId="154A80C0"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De acuerdo con el Ministerio de Justicia y del Derecho de Colombia, el consumo de sustancias psicoactivas ha venido en aumento, no solo porque hay más consumidores, sino porque el mercado es cada vez más diverso, esto ha hecho que se convierta en un problema crítico para Colombia, impactando la salud pública. </w:t>
      </w:r>
    </w:p>
    <w:p w14:paraId="154A80C1" w14:textId="77777777" w:rsidR="00610266" w:rsidRPr="003836A1" w:rsidRDefault="00610266" w:rsidP="003836A1">
      <w:pPr>
        <w:jc w:val="both"/>
        <w:rPr>
          <w:rFonts w:ascii="Arial" w:eastAsia="Arial" w:hAnsi="Arial" w:cs="Arial"/>
        </w:rPr>
      </w:pPr>
    </w:p>
    <w:p w14:paraId="154A80C2" w14:textId="77777777" w:rsidR="00610266" w:rsidRPr="003836A1" w:rsidRDefault="00F95AB8" w:rsidP="003836A1">
      <w:pPr>
        <w:jc w:val="both"/>
        <w:rPr>
          <w:rFonts w:ascii="Arial" w:eastAsia="Arial" w:hAnsi="Arial" w:cs="Arial"/>
        </w:rPr>
      </w:pPr>
      <w:r w:rsidRPr="003836A1">
        <w:rPr>
          <w:rFonts w:ascii="Arial" w:eastAsia="Arial" w:hAnsi="Arial" w:cs="Arial"/>
        </w:rPr>
        <w:t>Si bien muchas personas consumen droga y logran dejarla, en otras se vuelve persistente su consumo, afectando su salud, las relaciones familiares, académicas, laborales y sociales. (Ministerio de Justicia de Colombia, s.f.)</w:t>
      </w:r>
    </w:p>
    <w:p w14:paraId="154A80C3" w14:textId="77777777" w:rsidR="00610266" w:rsidRPr="003836A1" w:rsidRDefault="00610266" w:rsidP="003836A1">
      <w:pPr>
        <w:jc w:val="both"/>
        <w:rPr>
          <w:rFonts w:ascii="Arial" w:eastAsia="Arial" w:hAnsi="Arial" w:cs="Arial"/>
        </w:rPr>
      </w:pPr>
    </w:p>
    <w:p w14:paraId="154A80C4" w14:textId="77777777" w:rsidR="00610266" w:rsidRPr="00F525E9" w:rsidRDefault="00F525E9" w:rsidP="00F525E9">
      <w:pPr>
        <w:pStyle w:val="Prrafodelista"/>
        <w:widowControl/>
        <w:numPr>
          <w:ilvl w:val="1"/>
          <w:numId w:val="12"/>
        </w:numPr>
        <w:pBdr>
          <w:top w:val="nil"/>
          <w:left w:val="nil"/>
          <w:bottom w:val="nil"/>
          <w:right w:val="nil"/>
          <w:between w:val="nil"/>
        </w:pBdr>
        <w:jc w:val="both"/>
        <w:rPr>
          <w:rFonts w:ascii="Arial" w:eastAsia="Arial" w:hAnsi="Arial" w:cs="Arial"/>
          <w:b/>
        </w:rPr>
      </w:pPr>
      <w:r>
        <w:rPr>
          <w:rFonts w:ascii="Arial" w:eastAsia="Arial" w:hAnsi="Arial" w:cs="Arial"/>
          <w:b/>
        </w:rPr>
        <w:t>Si</w:t>
      </w:r>
      <w:r w:rsidR="00F95AB8" w:rsidRPr="00F525E9">
        <w:rPr>
          <w:rFonts w:ascii="Arial" w:eastAsia="Arial" w:hAnsi="Arial" w:cs="Arial"/>
          <w:b/>
        </w:rPr>
        <w:t xml:space="preserve">tuación de consumo de sustancias psicoactivas en Bogotá D.C. </w:t>
      </w:r>
    </w:p>
    <w:p w14:paraId="154A80C5" w14:textId="77777777" w:rsidR="005F7714" w:rsidRPr="003836A1" w:rsidRDefault="005F7714" w:rsidP="003836A1">
      <w:pPr>
        <w:widowControl/>
        <w:pBdr>
          <w:top w:val="nil"/>
          <w:left w:val="nil"/>
          <w:bottom w:val="nil"/>
          <w:right w:val="nil"/>
          <w:between w:val="nil"/>
        </w:pBdr>
        <w:jc w:val="both"/>
        <w:rPr>
          <w:rFonts w:ascii="Arial" w:eastAsia="Arial" w:hAnsi="Arial" w:cs="Arial"/>
          <w:b/>
        </w:rPr>
      </w:pPr>
    </w:p>
    <w:p w14:paraId="154A80C6" w14:textId="77777777" w:rsidR="005F7714" w:rsidRPr="003836A1" w:rsidRDefault="005F7714" w:rsidP="003836A1">
      <w:pPr>
        <w:widowControl/>
        <w:pBdr>
          <w:top w:val="nil"/>
          <w:left w:val="nil"/>
          <w:bottom w:val="nil"/>
          <w:right w:val="nil"/>
          <w:between w:val="nil"/>
        </w:pBdr>
        <w:jc w:val="both"/>
        <w:rPr>
          <w:rFonts w:ascii="Arial" w:eastAsia="Arial" w:hAnsi="Arial" w:cs="Arial"/>
        </w:rPr>
      </w:pPr>
      <w:r w:rsidRPr="003836A1">
        <w:rPr>
          <w:rFonts w:ascii="Arial" w:eastAsia="Arial" w:hAnsi="Arial" w:cs="Arial"/>
        </w:rPr>
        <w:t>De acuerdo con el Observatorio de Salud</w:t>
      </w:r>
      <w:r w:rsidR="009F6077" w:rsidRPr="003836A1">
        <w:rPr>
          <w:rFonts w:ascii="Arial" w:eastAsia="Arial" w:hAnsi="Arial" w:cs="Arial"/>
        </w:rPr>
        <w:t xml:space="preserve"> de Bogotá</w:t>
      </w:r>
      <w:r w:rsidR="0083004F" w:rsidRPr="003836A1">
        <w:rPr>
          <w:rFonts w:ascii="Arial" w:eastAsia="Arial" w:hAnsi="Arial" w:cs="Arial"/>
        </w:rPr>
        <w:t>, SALUDATA</w:t>
      </w:r>
      <w:r w:rsidRPr="003836A1">
        <w:rPr>
          <w:rFonts w:ascii="Arial" w:eastAsia="Arial" w:hAnsi="Arial" w:cs="Arial"/>
        </w:rPr>
        <w:t xml:space="preserve"> (</w:t>
      </w:r>
      <w:r w:rsidR="0083004F" w:rsidRPr="003836A1">
        <w:rPr>
          <w:rFonts w:ascii="Arial" w:eastAsia="Arial" w:hAnsi="Arial" w:cs="Arial"/>
        </w:rPr>
        <w:t>2024</w:t>
      </w:r>
      <w:r w:rsidRPr="003836A1">
        <w:rPr>
          <w:rFonts w:ascii="Arial" w:eastAsia="Arial" w:hAnsi="Arial" w:cs="Arial"/>
        </w:rPr>
        <w:t xml:space="preserve">) durante los años 2015 y 2023 fueron atendidos 87.954 casos de personas con consumo abusivo de sustancias psicoactivas en el Distrito, con un promedio de atenciones mensuales de 9.772 casos. </w:t>
      </w:r>
    </w:p>
    <w:p w14:paraId="154A80C7" w14:textId="77777777" w:rsidR="000A1D2A" w:rsidRPr="003836A1" w:rsidRDefault="000A1D2A" w:rsidP="003836A1">
      <w:pPr>
        <w:widowControl/>
        <w:pBdr>
          <w:top w:val="nil"/>
          <w:left w:val="nil"/>
          <w:bottom w:val="nil"/>
          <w:right w:val="nil"/>
          <w:between w:val="nil"/>
        </w:pBdr>
        <w:jc w:val="both"/>
        <w:rPr>
          <w:rFonts w:ascii="Arial" w:eastAsia="Arial" w:hAnsi="Arial" w:cs="Arial"/>
        </w:rPr>
      </w:pPr>
    </w:p>
    <w:p w14:paraId="154A80C8" w14:textId="77777777" w:rsidR="000A1D2A" w:rsidRPr="003836A1" w:rsidRDefault="000A1D2A" w:rsidP="003836A1">
      <w:pPr>
        <w:widowControl/>
        <w:pBdr>
          <w:top w:val="nil"/>
          <w:left w:val="nil"/>
          <w:bottom w:val="nil"/>
          <w:right w:val="nil"/>
          <w:between w:val="nil"/>
        </w:pBdr>
        <w:jc w:val="both"/>
        <w:rPr>
          <w:rFonts w:ascii="Arial" w:eastAsia="Arial" w:hAnsi="Arial" w:cs="Arial"/>
        </w:rPr>
      </w:pPr>
      <w:r w:rsidRPr="003836A1">
        <w:rPr>
          <w:rFonts w:ascii="Arial" w:eastAsia="Arial" w:hAnsi="Arial" w:cs="Arial"/>
        </w:rPr>
        <w:t xml:space="preserve">Durante este mismo periodo las localidades donde más se realizaron atenciones por este concepto fueron: 8.409 en los Mártires, 7.867 en Bosa y 7.462 en Suba; mientras que en las localidades donde menos se presentaron atenciones fueron 4 en Sumapaz, 1.417 en la Candelaria y 1.434 en Barrios Unidos. </w:t>
      </w:r>
    </w:p>
    <w:p w14:paraId="154A80C9" w14:textId="77777777" w:rsidR="000A1D2A" w:rsidRPr="003836A1" w:rsidRDefault="000A1D2A" w:rsidP="003836A1">
      <w:pPr>
        <w:widowControl/>
        <w:pBdr>
          <w:top w:val="nil"/>
          <w:left w:val="nil"/>
          <w:bottom w:val="nil"/>
          <w:right w:val="nil"/>
          <w:between w:val="nil"/>
        </w:pBdr>
        <w:jc w:val="both"/>
        <w:rPr>
          <w:rFonts w:ascii="Arial" w:eastAsia="Arial" w:hAnsi="Arial" w:cs="Arial"/>
        </w:rPr>
      </w:pPr>
    </w:p>
    <w:p w14:paraId="154A80CA" w14:textId="77777777" w:rsidR="000A1D2A" w:rsidRPr="003836A1" w:rsidRDefault="0083004F" w:rsidP="003836A1">
      <w:pPr>
        <w:widowControl/>
        <w:pBdr>
          <w:top w:val="nil"/>
          <w:left w:val="nil"/>
          <w:bottom w:val="nil"/>
          <w:right w:val="nil"/>
          <w:between w:val="nil"/>
        </w:pBdr>
        <w:jc w:val="both"/>
        <w:rPr>
          <w:rFonts w:ascii="Arial" w:eastAsia="Arial" w:hAnsi="Arial" w:cs="Arial"/>
        </w:rPr>
      </w:pPr>
      <w:r w:rsidRPr="003836A1">
        <w:rPr>
          <w:rFonts w:ascii="Arial" w:eastAsia="Arial" w:hAnsi="Arial" w:cs="Arial"/>
        </w:rPr>
        <w:t>Durante el 2023 se reportaron 10.172 casos, predominando el consumo por parte de hombres</w:t>
      </w:r>
      <w:r w:rsidR="00C01219">
        <w:rPr>
          <w:rFonts w:ascii="Arial" w:eastAsia="Arial" w:hAnsi="Arial" w:cs="Arial"/>
        </w:rPr>
        <w:t>. Al analizar</w:t>
      </w:r>
      <w:r w:rsidRPr="003836A1">
        <w:rPr>
          <w:rFonts w:ascii="Arial" w:eastAsia="Arial" w:hAnsi="Arial" w:cs="Arial"/>
        </w:rPr>
        <w:t xml:space="preserve"> por ciclo de vida </w:t>
      </w:r>
      <w:r w:rsidR="00413DE4">
        <w:rPr>
          <w:rFonts w:ascii="Arial" w:eastAsia="Arial" w:hAnsi="Arial" w:cs="Arial"/>
        </w:rPr>
        <w:t>la proporción de consumo fue d</w:t>
      </w:r>
      <w:r w:rsidRPr="003836A1">
        <w:rPr>
          <w:rFonts w:ascii="Arial" w:eastAsia="Arial" w:hAnsi="Arial" w:cs="Arial"/>
        </w:rPr>
        <w:t xml:space="preserve">el 38.5% </w:t>
      </w:r>
      <w:r w:rsidR="00413DE4">
        <w:rPr>
          <w:rFonts w:ascii="Arial" w:eastAsia="Arial" w:hAnsi="Arial" w:cs="Arial"/>
        </w:rPr>
        <w:t xml:space="preserve">en </w:t>
      </w:r>
      <w:r w:rsidRPr="003836A1">
        <w:rPr>
          <w:rFonts w:ascii="Arial" w:eastAsia="Arial" w:hAnsi="Arial" w:cs="Arial"/>
        </w:rPr>
        <w:t xml:space="preserve">la juventud, el 39.7% </w:t>
      </w:r>
      <w:r w:rsidR="00413DE4">
        <w:rPr>
          <w:rFonts w:ascii="Arial" w:eastAsia="Arial" w:hAnsi="Arial" w:cs="Arial"/>
        </w:rPr>
        <w:t xml:space="preserve">en adultez, el </w:t>
      </w:r>
      <w:r w:rsidRPr="003836A1">
        <w:rPr>
          <w:rFonts w:ascii="Arial" w:eastAsia="Arial" w:hAnsi="Arial" w:cs="Arial"/>
        </w:rPr>
        <w:t xml:space="preserve">18.6% por adolescentes. Para este año predominó el consumo abusivo de sustancias psicoactivas con 1.300 casos en Usaquén, 1.214 en Fontibón y 1.120 en Rafael Uribe Uribe, mientras que donde menos se registraron casos con tan solo uno en cada localidad fueron Usme y La Candelaria. </w:t>
      </w:r>
    </w:p>
    <w:p w14:paraId="154A80CB" w14:textId="77777777" w:rsidR="0083004F" w:rsidRPr="003836A1" w:rsidRDefault="0083004F" w:rsidP="003836A1">
      <w:pPr>
        <w:widowControl/>
        <w:pBdr>
          <w:top w:val="nil"/>
          <w:left w:val="nil"/>
          <w:bottom w:val="nil"/>
          <w:right w:val="nil"/>
          <w:between w:val="nil"/>
        </w:pBdr>
        <w:jc w:val="both"/>
        <w:rPr>
          <w:rFonts w:ascii="Arial" w:eastAsia="Arial" w:hAnsi="Arial" w:cs="Arial"/>
        </w:rPr>
      </w:pPr>
    </w:p>
    <w:p w14:paraId="154A80CC" w14:textId="77777777" w:rsidR="0083004F" w:rsidRPr="003836A1" w:rsidRDefault="002D1FB7" w:rsidP="003836A1">
      <w:pPr>
        <w:widowControl/>
        <w:pBdr>
          <w:top w:val="nil"/>
          <w:left w:val="nil"/>
          <w:bottom w:val="nil"/>
          <w:right w:val="nil"/>
          <w:between w:val="nil"/>
        </w:pBdr>
        <w:jc w:val="both"/>
        <w:rPr>
          <w:rFonts w:ascii="Arial" w:eastAsia="Arial" w:hAnsi="Arial" w:cs="Arial"/>
        </w:rPr>
      </w:pPr>
      <w:r w:rsidRPr="003836A1">
        <w:rPr>
          <w:rFonts w:ascii="Arial" w:eastAsia="Arial" w:hAnsi="Arial" w:cs="Arial"/>
        </w:rPr>
        <w:t>Durante los primeros 9 meses del 2024 se notificaron 9.628 casos</w:t>
      </w:r>
      <w:r w:rsidR="00777C7B" w:rsidRPr="003836A1">
        <w:rPr>
          <w:rFonts w:ascii="Arial" w:eastAsia="Arial" w:hAnsi="Arial" w:cs="Arial"/>
        </w:rPr>
        <w:t xml:space="preserve">, de los cuales 7.069 son hombres, 1 intersexual, 2.528 mujeres y 30 no tienen información. </w:t>
      </w:r>
      <w:r w:rsidR="00CC28F5" w:rsidRPr="003836A1">
        <w:rPr>
          <w:rFonts w:ascii="Arial" w:eastAsia="Arial" w:hAnsi="Arial" w:cs="Arial"/>
        </w:rPr>
        <w:t xml:space="preserve">De estos casos reportados al revisar por ciclo de vida, se evidencia que el 43.7% corresponde a adultez, el 41.94% a juventud, el 10.7% a adolescencia y el 3.46% a vejez. </w:t>
      </w:r>
    </w:p>
    <w:p w14:paraId="154A80CD" w14:textId="77777777" w:rsidR="00CC28F5" w:rsidRPr="003836A1" w:rsidRDefault="00CC28F5" w:rsidP="003836A1">
      <w:pPr>
        <w:widowControl/>
        <w:pBdr>
          <w:top w:val="nil"/>
          <w:left w:val="nil"/>
          <w:bottom w:val="nil"/>
          <w:right w:val="nil"/>
          <w:between w:val="nil"/>
        </w:pBdr>
        <w:jc w:val="both"/>
        <w:rPr>
          <w:rFonts w:ascii="Arial" w:eastAsia="Arial" w:hAnsi="Arial" w:cs="Arial"/>
        </w:rPr>
      </w:pPr>
    </w:p>
    <w:p w14:paraId="154A80CE" w14:textId="77777777" w:rsidR="00CC28F5" w:rsidRDefault="00CC28F5" w:rsidP="003836A1">
      <w:pPr>
        <w:widowControl/>
        <w:pBdr>
          <w:top w:val="nil"/>
          <w:left w:val="nil"/>
          <w:bottom w:val="nil"/>
          <w:right w:val="nil"/>
          <w:between w:val="nil"/>
        </w:pBdr>
        <w:jc w:val="both"/>
        <w:rPr>
          <w:rFonts w:ascii="Arial" w:eastAsia="Arial" w:hAnsi="Arial" w:cs="Arial"/>
        </w:rPr>
      </w:pPr>
      <w:r w:rsidRPr="003836A1">
        <w:rPr>
          <w:rFonts w:ascii="Arial" w:eastAsia="Arial" w:hAnsi="Arial" w:cs="Arial"/>
        </w:rPr>
        <w:t xml:space="preserve">Para los tres primeros trimestres del 2024 se evidenció que el sitio habitual de consumo es con 6.196 </w:t>
      </w:r>
      <w:r w:rsidR="00014B60">
        <w:rPr>
          <w:rFonts w:ascii="Arial" w:eastAsia="Arial" w:hAnsi="Arial" w:cs="Arial"/>
        </w:rPr>
        <w:t xml:space="preserve">casos </w:t>
      </w:r>
      <w:r w:rsidRPr="003836A1">
        <w:rPr>
          <w:rFonts w:ascii="Arial" w:eastAsia="Arial" w:hAnsi="Arial" w:cs="Arial"/>
        </w:rPr>
        <w:t xml:space="preserve">en vía pública, 6.196 en la casa de amigos, 4.241 en el parque, 4.008 en la vivienda, 3.555 en bares y tabernas y 781 en establecimientos educativos. </w:t>
      </w:r>
    </w:p>
    <w:p w14:paraId="154A80CF" w14:textId="77777777" w:rsidR="00014B60" w:rsidRPr="003836A1" w:rsidRDefault="00014B60" w:rsidP="003836A1">
      <w:pPr>
        <w:widowControl/>
        <w:pBdr>
          <w:top w:val="nil"/>
          <w:left w:val="nil"/>
          <w:bottom w:val="nil"/>
          <w:right w:val="nil"/>
          <w:between w:val="nil"/>
        </w:pBdr>
        <w:jc w:val="both"/>
        <w:rPr>
          <w:rFonts w:ascii="Arial" w:eastAsia="Arial" w:hAnsi="Arial" w:cs="Arial"/>
        </w:rPr>
      </w:pPr>
    </w:p>
    <w:p w14:paraId="154A80D0" w14:textId="77777777" w:rsidR="00B145A7" w:rsidRPr="003836A1" w:rsidRDefault="00B145A7" w:rsidP="003836A1">
      <w:pPr>
        <w:widowControl/>
        <w:pBdr>
          <w:top w:val="nil"/>
          <w:left w:val="nil"/>
          <w:bottom w:val="nil"/>
          <w:right w:val="nil"/>
          <w:between w:val="nil"/>
        </w:pBdr>
        <w:jc w:val="both"/>
        <w:rPr>
          <w:rFonts w:ascii="Arial" w:eastAsia="Arial" w:hAnsi="Arial" w:cs="Arial"/>
        </w:rPr>
      </w:pPr>
      <w:r w:rsidRPr="003836A1">
        <w:rPr>
          <w:rFonts w:ascii="Arial" w:eastAsia="Arial" w:hAnsi="Arial" w:cs="Arial"/>
        </w:rPr>
        <w:t xml:space="preserve">Al revisar por nivel educativo se encontró que 3.825 terminaron la secundaria, 2.370 tienen la secundaria incompleta, 784 tienen estudios técnicos, 719 no han terminado los estudios universitarios y 663 </w:t>
      </w:r>
      <w:r w:rsidR="00014B60">
        <w:rPr>
          <w:rFonts w:ascii="Arial" w:eastAsia="Arial" w:hAnsi="Arial" w:cs="Arial"/>
        </w:rPr>
        <w:t>completaron sus estudios universitarios</w:t>
      </w:r>
      <w:r w:rsidRPr="003836A1">
        <w:rPr>
          <w:rFonts w:ascii="Arial" w:eastAsia="Arial" w:hAnsi="Arial" w:cs="Arial"/>
        </w:rPr>
        <w:t xml:space="preserve">. </w:t>
      </w:r>
    </w:p>
    <w:p w14:paraId="154A80D1" w14:textId="77777777" w:rsidR="00CC28F5" w:rsidRPr="003836A1" w:rsidRDefault="00CC28F5" w:rsidP="003836A1">
      <w:pPr>
        <w:widowControl/>
        <w:pBdr>
          <w:top w:val="nil"/>
          <w:left w:val="nil"/>
          <w:bottom w:val="nil"/>
          <w:right w:val="nil"/>
          <w:between w:val="nil"/>
        </w:pBdr>
        <w:jc w:val="both"/>
        <w:rPr>
          <w:rFonts w:ascii="Arial" w:eastAsia="Arial" w:hAnsi="Arial" w:cs="Arial"/>
        </w:rPr>
      </w:pPr>
    </w:p>
    <w:p w14:paraId="154A80D2" w14:textId="77777777" w:rsidR="00CC28F5" w:rsidRPr="003836A1" w:rsidRDefault="00F525E9" w:rsidP="003836A1">
      <w:pPr>
        <w:widowControl/>
        <w:pBdr>
          <w:top w:val="nil"/>
          <w:left w:val="nil"/>
          <w:bottom w:val="nil"/>
          <w:right w:val="nil"/>
          <w:between w:val="nil"/>
        </w:pBdr>
        <w:jc w:val="both"/>
        <w:rPr>
          <w:rFonts w:ascii="Arial" w:eastAsia="Arial" w:hAnsi="Arial" w:cs="Arial"/>
          <w:b/>
        </w:rPr>
      </w:pPr>
      <w:r>
        <w:rPr>
          <w:rFonts w:ascii="Arial" w:eastAsia="Arial" w:hAnsi="Arial" w:cs="Arial"/>
          <w:b/>
        </w:rPr>
        <w:t xml:space="preserve">5.4 </w:t>
      </w:r>
      <w:r w:rsidR="009F6077" w:rsidRPr="003836A1">
        <w:rPr>
          <w:rFonts w:ascii="Arial" w:eastAsia="Arial" w:hAnsi="Arial" w:cs="Arial"/>
          <w:b/>
        </w:rPr>
        <w:t xml:space="preserve">Principales causas de consumo problemático </w:t>
      </w:r>
    </w:p>
    <w:p w14:paraId="154A80D3" w14:textId="77777777" w:rsidR="009F6077" w:rsidRPr="003836A1" w:rsidRDefault="009F6077" w:rsidP="003836A1">
      <w:pPr>
        <w:widowControl/>
        <w:pBdr>
          <w:top w:val="nil"/>
          <w:left w:val="nil"/>
          <w:bottom w:val="nil"/>
          <w:right w:val="nil"/>
          <w:between w:val="nil"/>
        </w:pBdr>
        <w:jc w:val="both"/>
        <w:rPr>
          <w:rFonts w:ascii="Arial" w:eastAsia="Arial" w:hAnsi="Arial" w:cs="Arial"/>
          <w:b/>
        </w:rPr>
      </w:pPr>
    </w:p>
    <w:p w14:paraId="154A80D4" w14:textId="77777777" w:rsidR="009F6077" w:rsidRPr="003836A1" w:rsidRDefault="00415021" w:rsidP="003836A1">
      <w:pPr>
        <w:widowControl/>
        <w:pBdr>
          <w:top w:val="nil"/>
          <w:left w:val="nil"/>
          <w:bottom w:val="nil"/>
          <w:right w:val="nil"/>
          <w:between w:val="nil"/>
        </w:pBdr>
        <w:jc w:val="both"/>
        <w:rPr>
          <w:rFonts w:ascii="Arial" w:eastAsia="Arial" w:hAnsi="Arial" w:cs="Arial"/>
        </w:rPr>
      </w:pPr>
      <w:r w:rsidRPr="003836A1">
        <w:rPr>
          <w:rFonts w:ascii="Arial" w:eastAsia="Arial" w:hAnsi="Arial" w:cs="Arial"/>
        </w:rPr>
        <w:t xml:space="preserve">Durante los años 2015 y 2023 el alcohol y el tabaco (sustancias legales) son las reportadas con mayor proporción de consumidores, con un consumo del 74.88% y 68.28% respectivamente. </w:t>
      </w:r>
    </w:p>
    <w:p w14:paraId="154A80D5" w14:textId="77777777" w:rsidR="00415021" w:rsidRPr="003836A1" w:rsidRDefault="00415021" w:rsidP="003836A1">
      <w:pPr>
        <w:widowControl/>
        <w:pBdr>
          <w:top w:val="nil"/>
          <w:left w:val="nil"/>
          <w:bottom w:val="nil"/>
          <w:right w:val="nil"/>
          <w:between w:val="nil"/>
        </w:pBdr>
        <w:jc w:val="both"/>
        <w:rPr>
          <w:rFonts w:ascii="Arial" w:eastAsia="Arial" w:hAnsi="Arial" w:cs="Arial"/>
        </w:rPr>
      </w:pPr>
    </w:p>
    <w:p w14:paraId="154A80D6" w14:textId="77777777" w:rsidR="0035689C" w:rsidRPr="003836A1" w:rsidRDefault="0035689C" w:rsidP="003836A1">
      <w:pPr>
        <w:widowControl/>
        <w:pBdr>
          <w:top w:val="nil"/>
          <w:left w:val="nil"/>
          <w:bottom w:val="nil"/>
          <w:right w:val="nil"/>
          <w:between w:val="nil"/>
        </w:pBdr>
        <w:jc w:val="both"/>
        <w:rPr>
          <w:rFonts w:ascii="Arial" w:eastAsia="Arial" w:hAnsi="Arial" w:cs="Arial"/>
        </w:rPr>
      </w:pPr>
      <w:r w:rsidRPr="003836A1">
        <w:rPr>
          <w:rFonts w:ascii="Arial" w:eastAsia="Arial" w:hAnsi="Arial" w:cs="Arial"/>
        </w:rPr>
        <w:t xml:space="preserve">Señala la Secretaría de Salud que 3 de cada 4 casos atendidos registran el consumo de alguna sustancia legal, mientras que 2 de cada 3 consumen marihuana, </w:t>
      </w:r>
      <w:r w:rsidR="006E10D5">
        <w:rPr>
          <w:rFonts w:ascii="Arial" w:eastAsia="Arial" w:hAnsi="Arial" w:cs="Arial"/>
        </w:rPr>
        <w:t>1 de cada 3 consume</w:t>
      </w:r>
      <w:r w:rsidRPr="003836A1">
        <w:rPr>
          <w:rFonts w:ascii="Arial" w:eastAsia="Arial" w:hAnsi="Arial" w:cs="Arial"/>
        </w:rPr>
        <w:t xml:space="preserve"> bazuco o cocaína, 1 de cada 5 </w:t>
      </w:r>
      <w:r w:rsidR="006E10D5">
        <w:rPr>
          <w:rFonts w:ascii="Arial" w:eastAsia="Arial" w:hAnsi="Arial" w:cs="Arial"/>
        </w:rPr>
        <w:t xml:space="preserve">consumen </w:t>
      </w:r>
      <w:r w:rsidRPr="003836A1">
        <w:rPr>
          <w:rFonts w:ascii="Arial" w:eastAsia="Arial" w:hAnsi="Arial" w:cs="Arial"/>
        </w:rPr>
        <w:t xml:space="preserve">disolventes, 5.28% consumen opioides y 3.74% éxtasis. </w:t>
      </w:r>
    </w:p>
    <w:p w14:paraId="154A80D7" w14:textId="77777777" w:rsidR="0035689C" w:rsidRPr="003836A1" w:rsidRDefault="0035689C" w:rsidP="003836A1">
      <w:pPr>
        <w:widowControl/>
        <w:pBdr>
          <w:top w:val="nil"/>
          <w:left w:val="nil"/>
          <w:bottom w:val="nil"/>
          <w:right w:val="nil"/>
          <w:between w:val="nil"/>
        </w:pBdr>
        <w:jc w:val="both"/>
        <w:rPr>
          <w:rFonts w:ascii="Arial" w:eastAsia="Arial" w:hAnsi="Arial" w:cs="Arial"/>
        </w:rPr>
      </w:pPr>
    </w:p>
    <w:p w14:paraId="154A80D8" w14:textId="77777777" w:rsidR="0035689C" w:rsidRPr="003836A1" w:rsidRDefault="009274A0" w:rsidP="003836A1">
      <w:pPr>
        <w:widowControl/>
        <w:pBdr>
          <w:top w:val="nil"/>
          <w:left w:val="nil"/>
          <w:bottom w:val="nil"/>
          <w:right w:val="nil"/>
          <w:between w:val="nil"/>
        </w:pBdr>
        <w:jc w:val="both"/>
        <w:rPr>
          <w:rFonts w:ascii="Arial" w:eastAsia="Arial" w:hAnsi="Arial" w:cs="Arial"/>
        </w:rPr>
      </w:pPr>
      <w:r w:rsidRPr="003836A1">
        <w:rPr>
          <w:rFonts w:ascii="Arial" w:eastAsia="Arial" w:hAnsi="Arial" w:cs="Arial"/>
        </w:rPr>
        <w:t xml:space="preserve">Dentro de los opioides se encuentran la codeína, fentanilo, hidrocodona, oxicodona, tramadol, meperidina, morfina, hidromorfona, metadona, buprenorfina y heroína. Del total de los casos de consumo abusivo de opioides reportados 4.193 corresponden a heroína y los restantes a otros opioides que son medicamentos de control especial sin prescripción médica. </w:t>
      </w:r>
    </w:p>
    <w:p w14:paraId="154A80D9" w14:textId="77777777" w:rsidR="009274A0" w:rsidRPr="003836A1" w:rsidRDefault="009274A0" w:rsidP="003836A1">
      <w:pPr>
        <w:widowControl/>
        <w:pBdr>
          <w:top w:val="nil"/>
          <w:left w:val="nil"/>
          <w:bottom w:val="nil"/>
          <w:right w:val="nil"/>
          <w:between w:val="nil"/>
        </w:pBdr>
        <w:jc w:val="both"/>
        <w:rPr>
          <w:rFonts w:ascii="Arial" w:eastAsia="Arial" w:hAnsi="Arial" w:cs="Arial"/>
        </w:rPr>
      </w:pPr>
    </w:p>
    <w:p w14:paraId="154A80DA" w14:textId="77777777" w:rsidR="00F438E0" w:rsidRPr="003836A1" w:rsidRDefault="00E11631" w:rsidP="003836A1">
      <w:pPr>
        <w:widowControl/>
        <w:pBdr>
          <w:top w:val="nil"/>
          <w:left w:val="nil"/>
          <w:bottom w:val="nil"/>
          <w:right w:val="nil"/>
          <w:between w:val="nil"/>
        </w:pBdr>
        <w:jc w:val="both"/>
        <w:rPr>
          <w:rFonts w:ascii="Arial" w:eastAsia="Arial" w:hAnsi="Arial" w:cs="Arial"/>
        </w:rPr>
      </w:pPr>
      <w:r w:rsidRPr="003836A1">
        <w:rPr>
          <w:rFonts w:ascii="Arial" w:eastAsia="Arial" w:hAnsi="Arial" w:cs="Arial"/>
        </w:rPr>
        <w:t>Para los tres primeros trimestres de 2024 las sustancias con mayor proporción de consumidores fueron con 69.06% la marihuana y 59.21% el tabaco</w:t>
      </w:r>
      <w:r w:rsidR="00F438E0" w:rsidRPr="003836A1">
        <w:rPr>
          <w:rFonts w:ascii="Arial" w:eastAsia="Arial" w:hAnsi="Arial" w:cs="Arial"/>
        </w:rPr>
        <w:t xml:space="preserve">, como se evidencia en la figura </w:t>
      </w:r>
      <w:r w:rsidR="006E10D5">
        <w:rPr>
          <w:rFonts w:ascii="Arial" w:eastAsia="Arial" w:hAnsi="Arial" w:cs="Arial"/>
        </w:rPr>
        <w:t xml:space="preserve">1. </w:t>
      </w:r>
      <w:r w:rsidR="00F438E0" w:rsidRPr="003836A1">
        <w:rPr>
          <w:rFonts w:ascii="Arial" w:eastAsia="Arial" w:hAnsi="Arial" w:cs="Arial"/>
        </w:rPr>
        <w:t xml:space="preserve"> </w:t>
      </w:r>
    </w:p>
    <w:p w14:paraId="154A80DB" w14:textId="77777777" w:rsidR="00F438E0" w:rsidRPr="003836A1" w:rsidRDefault="00F438E0" w:rsidP="003836A1">
      <w:pPr>
        <w:widowControl/>
        <w:pBdr>
          <w:top w:val="nil"/>
          <w:left w:val="nil"/>
          <w:bottom w:val="nil"/>
          <w:right w:val="nil"/>
          <w:between w:val="nil"/>
        </w:pBdr>
        <w:jc w:val="both"/>
        <w:rPr>
          <w:rFonts w:ascii="Arial" w:eastAsia="Arial" w:hAnsi="Arial" w:cs="Arial"/>
        </w:rPr>
      </w:pPr>
    </w:p>
    <w:p w14:paraId="154A80DC" w14:textId="77777777" w:rsidR="00F438E0" w:rsidRPr="006E10D5" w:rsidRDefault="00F438E0" w:rsidP="003836A1">
      <w:pPr>
        <w:widowControl/>
        <w:pBdr>
          <w:top w:val="nil"/>
          <w:left w:val="nil"/>
          <w:bottom w:val="nil"/>
          <w:right w:val="nil"/>
          <w:between w:val="nil"/>
        </w:pBdr>
        <w:jc w:val="both"/>
        <w:rPr>
          <w:rFonts w:ascii="Arial" w:eastAsia="Arial" w:hAnsi="Arial" w:cs="Arial"/>
          <w:b/>
        </w:rPr>
      </w:pPr>
      <w:r w:rsidRPr="006E10D5">
        <w:rPr>
          <w:rFonts w:ascii="Arial" w:eastAsia="Arial" w:hAnsi="Arial" w:cs="Arial"/>
          <w:b/>
        </w:rPr>
        <w:t xml:space="preserve">Figura 1 </w:t>
      </w:r>
    </w:p>
    <w:p w14:paraId="154A80DD" w14:textId="77777777" w:rsidR="00F438E0" w:rsidRPr="003836A1" w:rsidRDefault="00F438E0" w:rsidP="003836A1">
      <w:pPr>
        <w:widowControl/>
        <w:pBdr>
          <w:top w:val="nil"/>
          <w:left w:val="nil"/>
          <w:bottom w:val="nil"/>
          <w:right w:val="nil"/>
          <w:between w:val="nil"/>
        </w:pBdr>
        <w:jc w:val="both"/>
        <w:rPr>
          <w:rFonts w:ascii="Arial" w:eastAsia="Arial" w:hAnsi="Arial" w:cs="Arial"/>
        </w:rPr>
      </w:pPr>
    </w:p>
    <w:p w14:paraId="154A80DE" w14:textId="77777777" w:rsidR="00F438E0" w:rsidRPr="006E10D5" w:rsidRDefault="00F438E0" w:rsidP="003836A1">
      <w:pPr>
        <w:widowControl/>
        <w:pBdr>
          <w:top w:val="nil"/>
          <w:left w:val="nil"/>
          <w:bottom w:val="nil"/>
          <w:right w:val="nil"/>
          <w:between w:val="nil"/>
        </w:pBdr>
        <w:jc w:val="both"/>
        <w:rPr>
          <w:rFonts w:ascii="Arial" w:eastAsia="Arial" w:hAnsi="Arial" w:cs="Arial"/>
          <w:i/>
        </w:rPr>
      </w:pPr>
      <w:r w:rsidRPr="006E10D5">
        <w:rPr>
          <w:rFonts w:ascii="Arial" w:eastAsia="Arial" w:hAnsi="Arial" w:cs="Arial"/>
          <w:i/>
        </w:rPr>
        <w:t xml:space="preserve">Consumo de sustancias psicoactivas </w:t>
      </w:r>
      <w:r w:rsidR="006E10D5">
        <w:rPr>
          <w:rFonts w:ascii="Arial" w:eastAsia="Arial" w:hAnsi="Arial" w:cs="Arial"/>
          <w:i/>
        </w:rPr>
        <w:t xml:space="preserve">en Bogotá </w:t>
      </w:r>
    </w:p>
    <w:p w14:paraId="154A80DF" w14:textId="77777777" w:rsidR="00F438E0" w:rsidRPr="003836A1" w:rsidRDefault="00F438E0" w:rsidP="003836A1">
      <w:pPr>
        <w:widowControl/>
        <w:pBdr>
          <w:top w:val="nil"/>
          <w:left w:val="nil"/>
          <w:bottom w:val="nil"/>
          <w:right w:val="nil"/>
          <w:between w:val="nil"/>
        </w:pBdr>
        <w:jc w:val="both"/>
        <w:rPr>
          <w:rFonts w:ascii="Arial" w:eastAsia="Arial" w:hAnsi="Arial" w:cs="Arial"/>
        </w:rPr>
      </w:pPr>
    </w:p>
    <w:p w14:paraId="154A80E0" w14:textId="77777777" w:rsidR="00E11631" w:rsidRPr="003836A1" w:rsidRDefault="00F438E0" w:rsidP="003836A1">
      <w:pPr>
        <w:widowControl/>
        <w:pBdr>
          <w:top w:val="nil"/>
          <w:left w:val="nil"/>
          <w:bottom w:val="nil"/>
          <w:right w:val="nil"/>
          <w:between w:val="nil"/>
        </w:pBdr>
        <w:jc w:val="both"/>
        <w:rPr>
          <w:rFonts w:ascii="Arial" w:eastAsia="Arial" w:hAnsi="Arial" w:cs="Arial"/>
        </w:rPr>
      </w:pPr>
      <w:r w:rsidRPr="003836A1">
        <w:rPr>
          <w:rFonts w:ascii="Arial" w:hAnsi="Arial" w:cs="Arial"/>
          <w:noProof/>
          <w:lang w:val="es-419" w:eastAsia="es-419"/>
        </w:rPr>
        <w:drawing>
          <wp:inline distT="0" distB="0" distL="0" distR="0" wp14:anchorId="154A8237" wp14:editId="154A8238">
            <wp:extent cx="5763260" cy="2348230"/>
            <wp:effectExtent l="0" t="0" r="889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7"/>
                    <a:stretch>
                      <a:fillRect/>
                    </a:stretch>
                  </pic:blipFill>
                  <pic:spPr>
                    <a:xfrm>
                      <a:off x="0" y="0"/>
                      <a:ext cx="5763260" cy="2348230"/>
                    </a:xfrm>
                    <a:prstGeom prst="rect">
                      <a:avLst/>
                    </a:prstGeom>
                  </pic:spPr>
                </pic:pic>
              </a:graphicData>
            </a:graphic>
          </wp:inline>
        </w:drawing>
      </w:r>
      <w:r w:rsidR="00E11631" w:rsidRPr="003836A1">
        <w:rPr>
          <w:rFonts w:ascii="Arial" w:eastAsia="Arial" w:hAnsi="Arial" w:cs="Arial"/>
        </w:rPr>
        <w:t xml:space="preserve"> </w:t>
      </w:r>
    </w:p>
    <w:p w14:paraId="154A80E1" w14:textId="77777777" w:rsidR="00E11631" w:rsidRPr="003836A1" w:rsidRDefault="00E11631" w:rsidP="003836A1">
      <w:pPr>
        <w:widowControl/>
        <w:pBdr>
          <w:top w:val="nil"/>
          <w:left w:val="nil"/>
          <w:bottom w:val="nil"/>
          <w:right w:val="nil"/>
          <w:between w:val="nil"/>
        </w:pBdr>
        <w:jc w:val="both"/>
        <w:rPr>
          <w:rFonts w:ascii="Arial" w:eastAsia="Arial" w:hAnsi="Arial" w:cs="Arial"/>
        </w:rPr>
      </w:pPr>
    </w:p>
    <w:p w14:paraId="154A80E2" w14:textId="77777777" w:rsidR="00E11631" w:rsidRPr="003836A1" w:rsidRDefault="00F438E0" w:rsidP="003836A1">
      <w:pPr>
        <w:widowControl/>
        <w:pBdr>
          <w:top w:val="nil"/>
          <w:left w:val="nil"/>
          <w:bottom w:val="nil"/>
          <w:right w:val="nil"/>
          <w:between w:val="nil"/>
        </w:pBdr>
        <w:jc w:val="both"/>
        <w:rPr>
          <w:rFonts w:ascii="Arial" w:eastAsia="Arial" w:hAnsi="Arial" w:cs="Arial"/>
          <w:i/>
        </w:rPr>
      </w:pPr>
      <w:r w:rsidRPr="003836A1">
        <w:rPr>
          <w:rFonts w:ascii="Arial" w:eastAsia="Arial" w:hAnsi="Arial" w:cs="Arial"/>
          <w:i/>
        </w:rPr>
        <w:t xml:space="preserve">Nota. Tomado del Observatorio de Salud de Bogotá 2024. </w:t>
      </w:r>
    </w:p>
    <w:p w14:paraId="154A80E3" w14:textId="77777777" w:rsidR="00415021" w:rsidRPr="003836A1" w:rsidRDefault="00415021" w:rsidP="003836A1">
      <w:pPr>
        <w:widowControl/>
        <w:pBdr>
          <w:top w:val="nil"/>
          <w:left w:val="nil"/>
          <w:bottom w:val="nil"/>
          <w:right w:val="nil"/>
          <w:between w:val="nil"/>
        </w:pBdr>
        <w:jc w:val="both"/>
        <w:rPr>
          <w:rFonts w:ascii="Arial" w:eastAsia="Arial" w:hAnsi="Arial" w:cs="Arial"/>
        </w:rPr>
      </w:pPr>
    </w:p>
    <w:p w14:paraId="154A80E4" w14:textId="77777777" w:rsidR="005F7714" w:rsidRPr="003836A1" w:rsidRDefault="005F7714" w:rsidP="003836A1">
      <w:pPr>
        <w:widowControl/>
        <w:pBdr>
          <w:top w:val="nil"/>
          <w:left w:val="nil"/>
          <w:bottom w:val="nil"/>
          <w:right w:val="nil"/>
          <w:between w:val="nil"/>
        </w:pBdr>
        <w:jc w:val="both"/>
        <w:rPr>
          <w:rFonts w:ascii="Arial" w:eastAsia="Arial" w:hAnsi="Arial" w:cs="Arial"/>
        </w:rPr>
      </w:pPr>
    </w:p>
    <w:p w14:paraId="154A80E5" w14:textId="77777777" w:rsidR="00610266" w:rsidRPr="00F525E9" w:rsidRDefault="00F95AB8" w:rsidP="00F525E9">
      <w:pPr>
        <w:pStyle w:val="Prrafodelista"/>
        <w:widowControl/>
        <w:numPr>
          <w:ilvl w:val="1"/>
          <w:numId w:val="17"/>
        </w:numPr>
        <w:pBdr>
          <w:top w:val="nil"/>
          <w:left w:val="nil"/>
          <w:bottom w:val="nil"/>
          <w:right w:val="nil"/>
          <w:between w:val="nil"/>
        </w:pBdr>
        <w:jc w:val="both"/>
        <w:rPr>
          <w:rFonts w:ascii="Arial" w:eastAsia="Arial" w:hAnsi="Arial" w:cs="Arial"/>
          <w:b/>
        </w:rPr>
      </w:pPr>
      <w:r w:rsidRPr="00F525E9">
        <w:rPr>
          <w:rFonts w:ascii="Arial" w:eastAsia="Arial" w:hAnsi="Arial" w:cs="Arial"/>
          <w:b/>
        </w:rPr>
        <w:t xml:space="preserve">Consumo de sustancias psicoactivas en el entorno escolar </w:t>
      </w:r>
    </w:p>
    <w:p w14:paraId="154A80E6" w14:textId="77777777" w:rsidR="00610266" w:rsidRPr="003836A1" w:rsidRDefault="00610266" w:rsidP="003836A1">
      <w:pPr>
        <w:jc w:val="both"/>
        <w:rPr>
          <w:rFonts w:ascii="Arial" w:eastAsia="Arial" w:hAnsi="Arial" w:cs="Arial"/>
          <w:b/>
        </w:rPr>
      </w:pPr>
    </w:p>
    <w:p w14:paraId="154A80E7" w14:textId="77777777" w:rsidR="00062206" w:rsidRPr="003836A1" w:rsidRDefault="00E914DD" w:rsidP="003836A1">
      <w:pPr>
        <w:jc w:val="both"/>
        <w:rPr>
          <w:rFonts w:ascii="Arial" w:eastAsia="Arial" w:hAnsi="Arial" w:cs="Arial"/>
        </w:rPr>
      </w:pPr>
      <w:r w:rsidRPr="003836A1">
        <w:rPr>
          <w:rFonts w:ascii="Arial" w:eastAsia="Arial" w:hAnsi="Arial" w:cs="Arial"/>
        </w:rPr>
        <w:t xml:space="preserve">De acuerdo con la </w:t>
      </w:r>
      <w:r w:rsidR="003151A2" w:rsidRPr="003836A1">
        <w:rPr>
          <w:rFonts w:ascii="Arial" w:eastAsia="Arial" w:hAnsi="Arial" w:cs="Arial"/>
        </w:rPr>
        <w:t xml:space="preserve">Secretaría de Educación del Distrito (2024), </w:t>
      </w:r>
      <w:r w:rsidR="00C77983">
        <w:rPr>
          <w:rFonts w:ascii="Arial" w:eastAsia="Arial" w:hAnsi="Arial" w:cs="Arial"/>
        </w:rPr>
        <w:t>dando observancia a la</w:t>
      </w:r>
      <w:r w:rsidR="003151A2" w:rsidRPr="003836A1">
        <w:rPr>
          <w:rFonts w:ascii="Arial" w:eastAsia="Arial" w:hAnsi="Arial" w:cs="Arial"/>
        </w:rPr>
        <w:t xml:space="preserve"> </w:t>
      </w:r>
      <w:r w:rsidRPr="003836A1">
        <w:rPr>
          <w:rFonts w:ascii="Arial" w:eastAsia="Arial" w:hAnsi="Arial" w:cs="Arial"/>
        </w:rPr>
        <w:t xml:space="preserve">Ley 1620 de 2013, la </w:t>
      </w:r>
      <w:r w:rsidR="003151A2" w:rsidRPr="003836A1">
        <w:rPr>
          <w:rFonts w:ascii="Arial" w:eastAsia="Arial" w:hAnsi="Arial" w:cs="Arial"/>
        </w:rPr>
        <w:t>entidad cuenta</w:t>
      </w:r>
      <w:r w:rsidRPr="003836A1">
        <w:rPr>
          <w:rFonts w:ascii="Arial" w:eastAsia="Arial" w:hAnsi="Arial" w:cs="Arial"/>
        </w:rPr>
        <w:t xml:space="preserve"> con un Sistema de Alertas, que es la plataforma informática que facilita que los colegios del Distrito reporten y hagan seguimiento a las situaciones de presunta vulneración de derechos de las niñas, niños y jóvenes que se registraron en el interior de los colegios o fuera de estos. </w:t>
      </w:r>
    </w:p>
    <w:p w14:paraId="154A80E8" w14:textId="77777777" w:rsidR="00C77983" w:rsidRDefault="00C77983">
      <w:pPr>
        <w:rPr>
          <w:rFonts w:ascii="Arial" w:eastAsia="Arial" w:hAnsi="Arial" w:cs="Arial"/>
        </w:rPr>
      </w:pPr>
      <w:r>
        <w:rPr>
          <w:rFonts w:ascii="Arial" w:eastAsia="Arial" w:hAnsi="Arial" w:cs="Arial"/>
        </w:rPr>
        <w:br w:type="page"/>
      </w:r>
    </w:p>
    <w:p w14:paraId="154A80E9" w14:textId="77777777" w:rsidR="00E914DD" w:rsidRPr="003836A1" w:rsidRDefault="00E914DD" w:rsidP="003836A1">
      <w:pPr>
        <w:jc w:val="both"/>
        <w:rPr>
          <w:rFonts w:ascii="Arial" w:eastAsia="Arial" w:hAnsi="Arial" w:cs="Arial"/>
        </w:rPr>
      </w:pPr>
    </w:p>
    <w:p w14:paraId="154A80EA" w14:textId="77777777" w:rsidR="00E914DD" w:rsidRPr="003836A1" w:rsidRDefault="003151A2" w:rsidP="003836A1">
      <w:pPr>
        <w:jc w:val="both"/>
        <w:rPr>
          <w:rFonts w:ascii="Arial" w:eastAsia="Arial" w:hAnsi="Arial" w:cs="Arial"/>
          <w:b/>
        </w:rPr>
      </w:pPr>
      <w:r w:rsidRPr="003836A1">
        <w:rPr>
          <w:rFonts w:ascii="Arial" w:eastAsia="Arial" w:hAnsi="Arial" w:cs="Arial"/>
          <w:b/>
        </w:rPr>
        <w:t xml:space="preserve">Tabla 1 </w:t>
      </w:r>
    </w:p>
    <w:p w14:paraId="154A80EB" w14:textId="77777777" w:rsidR="003151A2" w:rsidRPr="003836A1" w:rsidRDefault="003151A2" w:rsidP="003836A1">
      <w:pPr>
        <w:jc w:val="both"/>
        <w:rPr>
          <w:rFonts w:ascii="Arial" w:eastAsia="Arial" w:hAnsi="Arial" w:cs="Arial"/>
          <w:b/>
        </w:rPr>
      </w:pPr>
    </w:p>
    <w:p w14:paraId="154A80EC" w14:textId="77777777" w:rsidR="003151A2" w:rsidRPr="003836A1" w:rsidRDefault="003151A2" w:rsidP="003836A1">
      <w:pPr>
        <w:jc w:val="both"/>
        <w:rPr>
          <w:rFonts w:ascii="Arial" w:eastAsia="Arial" w:hAnsi="Arial" w:cs="Arial"/>
          <w:i/>
        </w:rPr>
      </w:pPr>
      <w:r w:rsidRPr="003836A1">
        <w:rPr>
          <w:rFonts w:ascii="Arial" w:eastAsia="Arial" w:hAnsi="Arial" w:cs="Arial"/>
          <w:i/>
        </w:rPr>
        <w:t>Reporte anual de consumo de SPA por localidad 2020 a julio 2024</w:t>
      </w:r>
    </w:p>
    <w:p w14:paraId="154A80ED" w14:textId="77777777" w:rsidR="003151A2" w:rsidRPr="003836A1" w:rsidRDefault="003151A2" w:rsidP="003836A1">
      <w:pPr>
        <w:jc w:val="both"/>
        <w:rPr>
          <w:rFonts w:ascii="Arial" w:eastAsia="Arial" w:hAnsi="Arial" w:cs="Arial"/>
          <w:i/>
        </w:rPr>
      </w:pPr>
      <w:r w:rsidRPr="003836A1">
        <w:rPr>
          <w:rFonts w:ascii="Arial" w:eastAsia="Arial" w:hAnsi="Arial" w:cs="Arial"/>
          <w:i/>
        </w:rPr>
        <w:t xml:space="preserve"> </w:t>
      </w:r>
      <w:r w:rsidRPr="003836A1">
        <w:rPr>
          <w:rFonts w:ascii="Arial" w:hAnsi="Arial" w:cs="Arial"/>
          <w:noProof/>
          <w:lang w:val="es-419" w:eastAsia="es-419"/>
        </w:rPr>
        <w:drawing>
          <wp:inline distT="0" distB="0" distL="0" distR="0" wp14:anchorId="154A8239" wp14:editId="154A823A">
            <wp:extent cx="5763260" cy="3429000"/>
            <wp:effectExtent l="0" t="0" r="889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8"/>
                    <a:stretch>
                      <a:fillRect/>
                    </a:stretch>
                  </pic:blipFill>
                  <pic:spPr>
                    <a:xfrm>
                      <a:off x="0" y="0"/>
                      <a:ext cx="5763260" cy="3429000"/>
                    </a:xfrm>
                    <a:prstGeom prst="rect">
                      <a:avLst/>
                    </a:prstGeom>
                  </pic:spPr>
                </pic:pic>
              </a:graphicData>
            </a:graphic>
          </wp:inline>
        </w:drawing>
      </w:r>
    </w:p>
    <w:p w14:paraId="154A80EE" w14:textId="77777777" w:rsidR="00B9387E" w:rsidRPr="003836A1" w:rsidRDefault="003151A2" w:rsidP="003836A1">
      <w:pPr>
        <w:jc w:val="both"/>
        <w:rPr>
          <w:rFonts w:ascii="Arial" w:eastAsia="Arial" w:hAnsi="Arial" w:cs="Arial"/>
          <w:i/>
        </w:rPr>
      </w:pPr>
      <w:r w:rsidRPr="003836A1">
        <w:rPr>
          <w:rFonts w:ascii="Arial" w:eastAsia="Arial" w:hAnsi="Arial" w:cs="Arial"/>
          <w:i/>
        </w:rPr>
        <w:t xml:space="preserve">Nota. Tomado de la respuesta a la </w:t>
      </w:r>
      <w:r w:rsidR="00966B9A" w:rsidRPr="003836A1">
        <w:rPr>
          <w:rFonts w:ascii="Arial" w:eastAsia="Arial" w:hAnsi="Arial" w:cs="Arial"/>
          <w:i/>
        </w:rPr>
        <w:t>P</w:t>
      </w:r>
      <w:r w:rsidRPr="003836A1">
        <w:rPr>
          <w:rFonts w:ascii="Arial" w:eastAsia="Arial" w:hAnsi="Arial" w:cs="Arial"/>
          <w:i/>
        </w:rPr>
        <w:t xml:space="preserve">roposición 1009 de 2024 emitida por la SED </w:t>
      </w:r>
    </w:p>
    <w:p w14:paraId="154A80EF" w14:textId="77777777" w:rsidR="00B9387E" w:rsidRPr="003836A1" w:rsidRDefault="00B9387E" w:rsidP="003836A1">
      <w:pPr>
        <w:jc w:val="both"/>
        <w:rPr>
          <w:rFonts w:ascii="Arial" w:eastAsia="Arial" w:hAnsi="Arial" w:cs="Arial"/>
          <w:b/>
        </w:rPr>
      </w:pPr>
    </w:p>
    <w:p w14:paraId="154A80F0" w14:textId="77777777" w:rsidR="00B9387E" w:rsidRPr="003836A1" w:rsidRDefault="003151A2" w:rsidP="003836A1">
      <w:pPr>
        <w:jc w:val="both"/>
        <w:rPr>
          <w:rFonts w:ascii="Arial" w:eastAsia="Arial" w:hAnsi="Arial" w:cs="Arial"/>
        </w:rPr>
      </w:pPr>
      <w:r w:rsidRPr="003836A1">
        <w:rPr>
          <w:rFonts w:ascii="Arial" w:eastAsia="Arial" w:hAnsi="Arial" w:cs="Arial"/>
        </w:rPr>
        <w:t xml:space="preserve">Como se observa en la tabla 1 la localidad con mayor reporte de consumo de sustancias psicoactivas durante el periodo comprendido entre enero de 2020 y julio de 2024 es Kennedy con 2.148 casos, seguido de Bosa con 2.144, Suba con 2.071 y Ciudad Bolívar con 1.804 casos. </w:t>
      </w:r>
    </w:p>
    <w:p w14:paraId="154A80F1" w14:textId="77777777" w:rsidR="00B9387E" w:rsidRPr="003836A1" w:rsidRDefault="00B9387E" w:rsidP="003836A1">
      <w:pPr>
        <w:jc w:val="both"/>
        <w:rPr>
          <w:rFonts w:ascii="Arial" w:eastAsia="Arial" w:hAnsi="Arial" w:cs="Arial"/>
          <w:b/>
        </w:rPr>
      </w:pPr>
    </w:p>
    <w:p w14:paraId="154A80F2" w14:textId="77777777" w:rsidR="00610266" w:rsidRPr="003836A1" w:rsidRDefault="003151A2" w:rsidP="003836A1">
      <w:pPr>
        <w:jc w:val="both"/>
        <w:rPr>
          <w:rFonts w:ascii="Arial" w:eastAsia="Arial" w:hAnsi="Arial" w:cs="Arial"/>
        </w:rPr>
      </w:pPr>
      <w:r w:rsidRPr="003836A1">
        <w:rPr>
          <w:rFonts w:ascii="Arial" w:eastAsia="Arial" w:hAnsi="Arial" w:cs="Arial"/>
        </w:rPr>
        <w:t>Estas cifras resultan preocupantes</w:t>
      </w:r>
      <w:r w:rsidR="00C62369" w:rsidRPr="003836A1">
        <w:rPr>
          <w:rFonts w:ascii="Arial" w:eastAsia="Arial" w:hAnsi="Arial" w:cs="Arial"/>
          <w:b/>
        </w:rPr>
        <w:t xml:space="preserve">, </w:t>
      </w:r>
      <w:r w:rsidR="00C62369" w:rsidRPr="00C77983">
        <w:rPr>
          <w:rFonts w:ascii="Arial" w:eastAsia="Arial" w:hAnsi="Arial" w:cs="Arial"/>
        </w:rPr>
        <w:t>más aún con lo señalado por el</w:t>
      </w:r>
      <w:r w:rsidR="00C62369" w:rsidRPr="003836A1">
        <w:rPr>
          <w:rFonts w:ascii="Arial" w:eastAsia="Arial" w:hAnsi="Arial" w:cs="Arial"/>
          <w:b/>
        </w:rPr>
        <w:t xml:space="preserve"> </w:t>
      </w:r>
      <w:r w:rsidR="00F95AB8" w:rsidRPr="003836A1">
        <w:rPr>
          <w:rFonts w:ascii="Arial" w:eastAsia="Arial" w:hAnsi="Arial" w:cs="Arial"/>
        </w:rPr>
        <w:t xml:space="preserve">Centro Clínico de Adicciones (2018) </w:t>
      </w:r>
      <w:r w:rsidR="00F525E9">
        <w:rPr>
          <w:rFonts w:ascii="Arial" w:eastAsia="Arial" w:hAnsi="Arial" w:cs="Arial"/>
        </w:rPr>
        <w:t xml:space="preserve">que informó que </w:t>
      </w:r>
      <w:r w:rsidR="00F95AB8" w:rsidRPr="003836A1">
        <w:rPr>
          <w:rFonts w:ascii="Arial" w:eastAsia="Arial" w:hAnsi="Arial" w:cs="Arial"/>
        </w:rPr>
        <w:t xml:space="preserve">el consumo de droga en jóvenes es cada vez más frecuente a una edad temprana, y al encontrarse estos en etapa de desarrollo del cerebro y sus funciones, resulta más perjudicial para la salud y el aprendizaje. </w:t>
      </w:r>
    </w:p>
    <w:p w14:paraId="154A80F3" w14:textId="77777777" w:rsidR="00610266" w:rsidRPr="003836A1" w:rsidRDefault="00610266" w:rsidP="003836A1">
      <w:pPr>
        <w:jc w:val="both"/>
        <w:rPr>
          <w:rFonts w:ascii="Arial" w:eastAsia="Arial" w:hAnsi="Arial" w:cs="Arial"/>
        </w:rPr>
      </w:pPr>
    </w:p>
    <w:p w14:paraId="154A80F4"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El consumo de droga afecta los procesos neuronales, lo que incide en el aprendizaje, afectando por ende el rendimiento académico. Dado que el efecto del consumo de droga permanece tiempo después de su consumo, el rendimiento en sus estudios afectará aún los días siguientes. </w:t>
      </w:r>
    </w:p>
    <w:p w14:paraId="154A80F5" w14:textId="77777777" w:rsidR="00610266" w:rsidRPr="003836A1" w:rsidRDefault="00610266" w:rsidP="003836A1">
      <w:pPr>
        <w:jc w:val="both"/>
        <w:rPr>
          <w:rFonts w:ascii="Arial" w:eastAsia="Arial" w:hAnsi="Arial" w:cs="Arial"/>
        </w:rPr>
      </w:pPr>
    </w:p>
    <w:p w14:paraId="154A80F6"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El consumo de drogas como la marihuana, impacta funciones como atención, memoria y concentración básicas para las capacidades de aprendizaje, afectando la motivación y la disciplina que se requieren para las actividades académicas. Como resultado, los jóvenes presentan una menor capacidad mental, bajo rendimiento y autoestima, lo cual incrementa la posibilidad de deserción escolar. </w:t>
      </w:r>
    </w:p>
    <w:p w14:paraId="154A80F7" w14:textId="77777777" w:rsidR="00610266" w:rsidRPr="003836A1" w:rsidRDefault="00610266" w:rsidP="003836A1">
      <w:pPr>
        <w:jc w:val="both"/>
        <w:rPr>
          <w:rFonts w:ascii="Arial" w:eastAsia="Arial" w:hAnsi="Arial" w:cs="Arial"/>
        </w:rPr>
      </w:pPr>
    </w:p>
    <w:p w14:paraId="154A80F8"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Así mismo, sustancias como la cocaína afectan negativamente el sistema psicomotor, que impide el proceso de aprendizaje en las aulas, la concentración y el interés en sus diferentes actividades. </w:t>
      </w:r>
    </w:p>
    <w:p w14:paraId="154A80F9" w14:textId="77777777" w:rsidR="00610266" w:rsidRPr="003836A1" w:rsidRDefault="00610266" w:rsidP="003836A1">
      <w:pPr>
        <w:jc w:val="both"/>
        <w:rPr>
          <w:rFonts w:ascii="Arial" w:eastAsia="Arial" w:hAnsi="Arial" w:cs="Arial"/>
        </w:rPr>
      </w:pPr>
    </w:p>
    <w:p w14:paraId="154A80FA" w14:textId="77777777" w:rsidR="00610266" w:rsidRPr="003836A1" w:rsidRDefault="00610266" w:rsidP="003836A1">
      <w:pPr>
        <w:jc w:val="both"/>
        <w:rPr>
          <w:rFonts w:ascii="Arial" w:eastAsia="Arial" w:hAnsi="Arial" w:cs="Arial"/>
        </w:rPr>
      </w:pPr>
    </w:p>
    <w:p w14:paraId="154A80FB" w14:textId="77777777" w:rsidR="00C62369" w:rsidRPr="009E4060" w:rsidRDefault="00C62369" w:rsidP="009E4060">
      <w:pPr>
        <w:pStyle w:val="Prrafodelista"/>
        <w:numPr>
          <w:ilvl w:val="1"/>
          <w:numId w:val="17"/>
        </w:numPr>
        <w:jc w:val="both"/>
        <w:rPr>
          <w:rFonts w:ascii="Arial" w:eastAsia="Arial" w:hAnsi="Arial" w:cs="Arial"/>
          <w:b/>
        </w:rPr>
      </w:pPr>
      <w:r w:rsidRPr="009E4060">
        <w:rPr>
          <w:rFonts w:ascii="Arial" w:eastAsia="Arial" w:hAnsi="Arial" w:cs="Arial"/>
          <w:b/>
        </w:rPr>
        <w:t xml:space="preserve">Principales sustancias psicoactivas de consumo abusivo en menores de edad según curso de vida. </w:t>
      </w:r>
    </w:p>
    <w:p w14:paraId="154A80FC" w14:textId="77777777" w:rsidR="009E4060" w:rsidRDefault="009E4060" w:rsidP="009E4060">
      <w:pPr>
        <w:jc w:val="both"/>
        <w:rPr>
          <w:rFonts w:ascii="Arial" w:eastAsia="Arial" w:hAnsi="Arial" w:cs="Arial"/>
          <w:b/>
        </w:rPr>
      </w:pPr>
    </w:p>
    <w:p w14:paraId="154A80FD" w14:textId="77777777" w:rsidR="009E4060" w:rsidRPr="003836A1" w:rsidRDefault="009E4060" w:rsidP="009E4060">
      <w:pPr>
        <w:jc w:val="both"/>
        <w:rPr>
          <w:rFonts w:ascii="Arial" w:eastAsia="Arial" w:hAnsi="Arial" w:cs="Arial"/>
        </w:rPr>
      </w:pPr>
      <w:r w:rsidRPr="003836A1">
        <w:rPr>
          <w:rFonts w:ascii="Arial" w:eastAsia="Arial" w:hAnsi="Arial" w:cs="Arial"/>
        </w:rPr>
        <w:t xml:space="preserve">Como se observa en la tabla 2 entre enero de 2022 y julio de 2024 el consumo de marihuana fue el más alto con 2.329 casos, 1.272 de tabaco (cigarrillo), 1.156 de alcohol, 572 de cocaína, 209 de bazuco y 347 inhalables disolventes. </w:t>
      </w:r>
    </w:p>
    <w:p w14:paraId="154A80FE" w14:textId="77777777" w:rsidR="009E4060" w:rsidRPr="009E4060" w:rsidRDefault="009E4060" w:rsidP="009E4060">
      <w:pPr>
        <w:jc w:val="both"/>
        <w:rPr>
          <w:rFonts w:ascii="Arial" w:eastAsia="Arial" w:hAnsi="Arial" w:cs="Arial"/>
          <w:b/>
        </w:rPr>
      </w:pPr>
    </w:p>
    <w:p w14:paraId="154A80FF" w14:textId="77777777" w:rsidR="00C62369" w:rsidRPr="003836A1" w:rsidRDefault="00C62369" w:rsidP="003836A1">
      <w:pPr>
        <w:jc w:val="both"/>
        <w:rPr>
          <w:rFonts w:ascii="Arial" w:eastAsia="Arial" w:hAnsi="Arial" w:cs="Arial"/>
          <w:b/>
        </w:rPr>
      </w:pPr>
    </w:p>
    <w:p w14:paraId="154A8100" w14:textId="77777777" w:rsidR="00C62369" w:rsidRPr="003836A1" w:rsidRDefault="00966B9A" w:rsidP="003836A1">
      <w:pPr>
        <w:jc w:val="both"/>
        <w:rPr>
          <w:rFonts w:ascii="Arial" w:eastAsia="Arial" w:hAnsi="Arial" w:cs="Arial"/>
          <w:b/>
        </w:rPr>
      </w:pPr>
      <w:r w:rsidRPr="003836A1">
        <w:rPr>
          <w:rFonts w:ascii="Arial" w:eastAsia="Arial" w:hAnsi="Arial" w:cs="Arial"/>
          <w:b/>
        </w:rPr>
        <w:t xml:space="preserve">Tabla 2 </w:t>
      </w:r>
    </w:p>
    <w:p w14:paraId="154A8101" w14:textId="77777777" w:rsidR="00966B9A" w:rsidRPr="003836A1" w:rsidRDefault="00966B9A" w:rsidP="003836A1">
      <w:pPr>
        <w:jc w:val="both"/>
        <w:rPr>
          <w:rFonts w:ascii="Arial" w:eastAsia="Arial" w:hAnsi="Arial" w:cs="Arial"/>
          <w:b/>
        </w:rPr>
      </w:pPr>
    </w:p>
    <w:p w14:paraId="154A8102" w14:textId="77777777" w:rsidR="00966B9A" w:rsidRPr="003836A1" w:rsidRDefault="00966B9A" w:rsidP="003836A1">
      <w:pPr>
        <w:jc w:val="both"/>
        <w:rPr>
          <w:rFonts w:ascii="Arial" w:eastAsia="Arial" w:hAnsi="Arial" w:cs="Arial"/>
          <w:i/>
        </w:rPr>
      </w:pPr>
      <w:r w:rsidRPr="003836A1">
        <w:rPr>
          <w:rFonts w:ascii="Arial" w:eastAsia="Arial" w:hAnsi="Arial" w:cs="Arial"/>
          <w:i/>
        </w:rPr>
        <w:t xml:space="preserve">Principales SPA de consumo abusivo en menores de edad </w:t>
      </w:r>
      <w:r w:rsidR="00CD4A60" w:rsidRPr="003836A1">
        <w:rPr>
          <w:rFonts w:ascii="Arial" w:eastAsia="Arial" w:hAnsi="Arial" w:cs="Arial"/>
          <w:i/>
        </w:rPr>
        <w:t xml:space="preserve">2022 a julio de 2024 </w:t>
      </w:r>
    </w:p>
    <w:p w14:paraId="154A8103" w14:textId="77777777" w:rsidR="00966B9A" w:rsidRPr="003836A1" w:rsidRDefault="00966B9A" w:rsidP="003836A1">
      <w:pPr>
        <w:jc w:val="center"/>
        <w:rPr>
          <w:rFonts w:ascii="Arial" w:eastAsia="Arial" w:hAnsi="Arial" w:cs="Arial"/>
          <w:b/>
        </w:rPr>
      </w:pPr>
    </w:p>
    <w:tbl>
      <w:tblPr>
        <w:tblStyle w:val="Tablaconcuadrcula"/>
        <w:tblW w:w="0" w:type="auto"/>
        <w:tblLook w:val="04A0" w:firstRow="1" w:lastRow="0" w:firstColumn="1" w:lastColumn="0" w:noHBand="0" w:noVBand="1"/>
      </w:tblPr>
      <w:tblGrid>
        <w:gridCol w:w="806"/>
        <w:gridCol w:w="1058"/>
        <w:gridCol w:w="1317"/>
        <w:gridCol w:w="1049"/>
        <w:gridCol w:w="1292"/>
        <w:gridCol w:w="1031"/>
        <w:gridCol w:w="1086"/>
        <w:gridCol w:w="1427"/>
      </w:tblGrid>
      <w:tr w:rsidR="003836A1" w:rsidRPr="003836A1" w14:paraId="154A810C" w14:textId="77777777" w:rsidTr="00966B9A">
        <w:tc>
          <w:tcPr>
            <w:tcW w:w="806" w:type="dxa"/>
          </w:tcPr>
          <w:p w14:paraId="154A8104" w14:textId="77777777" w:rsidR="00966B9A" w:rsidRPr="003836A1" w:rsidRDefault="00966B9A" w:rsidP="003836A1">
            <w:pPr>
              <w:jc w:val="center"/>
              <w:rPr>
                <w:rFonts w:ascii="Arial" w:eastAsia="Arial" w:hAnsi="Arial" w:cs="Arial"/>
                <w:b/>
              </w:rPr>
            </w:pPr>
            <w:r w:rsidRPr="003836A1">
              <w:rPr>
                <w:rFonts w:ascii="Arial" w:eastAsia="Arial" w:hAnsi="Arial" w:cs="Arial"/>
                <w:b/>
              </w:rPr>
              <w:t>Año</w:t>
            </w:r>
          </w:p>
        </w:tc>
        <w:tc>
          <w:tcPr>
            <w:tcW w:w="1058" w:type="dxa"/>
          </w:tcPr>
          <w:p w14:paraId="154A8105" w14:textId="77777777" w:rsidR="00966B9A" w:rsidRPr="003836A1" w:rsidRDefault="00966B9A" w:rsidP="003836A1">
            <w:pPr>
              <w:jc w:val="center"/>
              <w:rPr>
                <w:rFonts w:ascii="Arial" w:eastAsia="Arial" w:hAnsi="Arial" w:cs="Arial"/>
                <w:b/>
              </w:rPr>
            </w:pPr>
            <w:r w:rsidRPr="003836A1">
              <w:rPr>
                <w:rFonts w:ascii="Arial" w:eastAsia="Arial" w:hAnsi="Arial" w:cs="Arial"/>
                <w:b/>
              </w:rPr>
              <w:t>Rango de edad</w:t>
            </w:r>
          </w:p>
        </w:tc>
        <w:tc>
          <w:tcPr>
            <w:tcW w:w="1317" w:type="dxa"/>
          </w:tcPr>
          <w:p w14:paraId="154A8106" w14:textId="77777777" w:rsidR="00966B9A" w:rsidRPr="003836A1" w:rsidRDefault="00966B9A" w:rsidP="003836A1">
            <w:pPr>
              <w:jc w:val="center"/>
              <w:rPr>
                <w:rFonts w:ascii="Arial" w:eastAsia="Arial" w:hAnsi="Arial" w:cs="Arial"/>
                <w:b/>
              </w:rPr>
            </w:pPr>
            <w:r w:rsidRPr="003836A1">
              <w:rPr>
                <w:rFonts w:ascii="Arial" w:eastAsia="Arial" w:hAnsi="Arial" w:cs="Arial"/>
                <w:b/>
              </w:rPr>
              <w:t>Marihuana</w:t>
            </w:r>
          </w:p>
        </w:tc>
        <w:tc>
          <w:tcPr>
            <w:tcW w:w="1049" w:type="dxa"/>
          </w:tcPr>
          <w:p w14:paraId="154A8107" w14:textId="77777777" w:rsidR="00966B9A" w:rsidRPr="003836A1" w:rsidRDefault="00966B9A" w:rsidP="003836A1">
            <w:pPr>
              <w:jc w:val="center"/>
              <w:rPr>
                <w:rFonts w:ascii="Arial" w:eastAsia="Arial" w:hAnsi="Arial" w:cs="Arial"/>
                <w:b/>
              </w:rPr>
            </w:pPr>
            <w:r w:rsidRPr="003836A1">
              <w:rPr>
                <w:rFonts w:ascii="Arial" w:eastAsia="Arial" w:hAnsi="Arial" w:cs="Arial"/>
                <w:b/>
              </w:rPr>
              <w:t>Alcohol</w:t>
            </w:r>
          </w:p>
        </w:tc>
        <w:tc>
          <w:tcPr>
            <w:tcW w:w="1292" w:type="dxa"/>
          </w:tcPr>
          <w:p w14:paraId="154A8108" w14:textId="77777777" w:rsidR="00966B9A" w:rsidRPr="003836A1" w:rsidRDefault="00966B9A" w:rsidP="003836A1">
            <w:pPr>
              <w:jc w:val="center"/>
              <w:rPr>
                <w:rFonts w:ascii="Arial" w:eastAsia="Arial" w:hAnsi="Arial" w:cs="Arial"/>
                <w:b/>
              </w:rPr>
            </w:pPr>
            <w:r w:rsidRPr="003836A1">
              <w:rPr>
                <w:rFonts w:ascii="Arial" w:eastAsia="Arial" w:hAnsi="Arial" w:cs="Arial"/>
                <w:b/>
              </w:rPr>
              <w:t>Tabaco (cigarrillo)</w:t>
            </w:r>
          </w:p>
        </w:tc>
        <w:tc>
          <w:tcPr>
            <w:tcW w:w="1031" w:type="dxa"/>
          </w:tcPr>
          <w:p w14:paraId="154A8109" w14:textId="77777777" w:rsidR="00966B9A" w:rsidRPr="003836A1" w:rsidRDefault="00966B9A" w:rsidP="003836A1">
            <w:pPr>
              <w:jc w:val="center"/>
              <w:rPr>
                <w:rFonts w:ascii="Arial" w:eastAsia="Arial" w:hAnsi="Arial" w:cs="Arial"/>
                <w:b/>
              </w:rPr>
            </w:pPr>
            <w:r w:rsidRPr="003836A1">
              <w:rPr>
                <w:rFonts w:ascii="Arial" w:eastAsia="Arial" w:hAnsi="Arial" w:cs="Arial"/>
                <w:b/>
              </w:rPr>
              <w:t>Bazuco</w:t>
            </w:r>
          </w:p>
        </w:tc>
        <w:tc>
          <w:tcPr>
            <w:tcW w:w="1086" w:type="dxa"/>
          </w:tcPr>
          <w:p w14:paraId="154A810A" w14:textId="77777777" w:rsidR="00966B9A" w:rsidRPr="003836A1" w:rsidRDefault="00966B9A" w:rsidP="003836A1">
            <w:pPr>
              <w:jc w:val="center"/>
              <w:rPr>
                <w:rFonts w:ascii="Arial" w:eastAsia="Arial" w:hAnsi="Arial" w:cs="Arial"/>
                <w:b/>
              </w:rPr>
            </w:pPr>
            <w:r w:rsidRPr="003836A1">
              <w:rPr>
                <w:rFonts w:ascii="Arial" w:eastAsia="Arial" w:hAnsi="Arial" w:cs="Arial"/>
                <w:b/>
              </w:rPr>
              <w:t>Cocaína</w:t>
            </w:r>
          </w:p>
        </w:tc>
        <w:tc>
          <w:tcPr>
            <w:tcW w:w="1427" w:type="dxa"/>
          </w:tcPr>
          <w:p w14:paraId="154A810B" w14:textId="77777777" w:rsidR="00966B9A" w:rsidRPr="003836A1" w:rsidRDefault="00966B9A" w:rsidP="003836A1">
            <w:pPr>
              <w:jc w:val="center"/>
              <w:rPr>
                <w:rFonts w:ascii="Arial" w:eastAsia="Arial" w:hAnsi="Arial" w:cs="Arial"/>
                <w:b/>
              </w:rPr>
            </w:pPr>
            <w:r w:rsidRPr="003836A1">
              <w:rPr>
                <w:rFonts w:ascii="Arial" w:eastAsia="Arial" w:hAnsi="Arial" w:cs="Arial"/>
                <w:b/>
              </w:rPr>
              <w:t>Inhalables disolventes</w:t>
            </w:r>
          </w:p>
        </w:tc>
      </w:tr>
      <w:tr w:rsidR="003836A1" w:rsidRPr="003836A1" w14:paraId="154A8116" w14:textId="77777777" w:rsidTr="00966B9A">
        <w:tc>
          <w:tcPr>
            <w:tcW w:w="806" w:type="dxa"/>
            <w:vMerge w:val="restart"/>
          </w:tcPr>
          <w:p w14:paraId="154A810D" w14:textId="77777777" w:rsidR="00966B9A" w:rsidRPr="003836A1" w:rsidRDefault="00966B9A" w:rsidP="003836A1">
            <w:pPr>
              <w:jc w:val="center"/>
              <w:rPr>
                <w:rFonts w:ascii="Arial" w:eastAsia="Arial" w:hAnsi="Arial" w:cs="Arial"/>
              </w:rPr>
            </w:pPr>
          </w:p>
          <w:p w14:paraId="154A810E" w14:textId="77777777" w:rsidR="00966B9A" w:rsidRPr="003836A1" w:rsidRDefault="00966B9A" w:rsidP="003836A1">
            <w:pPr>
              <w:jc w:val="center"/>
              <w:rPr>
                <w:rFonts w:ascii="Arial" w:eastAsia="Arial" w:hAnsi="Arial" w:cs="Arial"/>
              </w:rPr>
            </w:pPr>
            <w:r w:rsidRPr="003836A1">
              <w:rPr>
                <w:rFonts w:ascii="Arial" w:eastAsia="Arial" w:hAnsi="Arial" w:cs="Arial"/>
              </w:rPr>
              <w:t>2022</w:t>
            </w:r>
          </w:p>
        </w:tc>
        <w:tc>
          <w:tcPr>
            <w:tcW w:w="1058" w:type="dxa"/>
          </w:tcPr>
          <w:p w14:paraId="154A810F" w14:textId="77777777" w:rsidR="00966B9A" w:rsidRPr="005D703F" w:rsidRDefault="00966B9A" w:rsidP="003836A1">
            <w:pPr>
              <w:jc w:val="center"/>
              <w:rPr>
                <w:rFonts w:ascii="Arial" w:eastAsia="Arial" w:hAnsi="Arial" w:cs="Arial"/>
                <w:sz w:val="20"/>
              </w:rPr>
            </w:pPr>
            <w:r w:rsidRPr="005D703F">
              <w:rPr>
                <w:rFonts w:ascii="Arial" w:eastAsia="Arial" w:hAnsi="Arial" w:cs="Arial"/>
                <w:sz w:val="20"/>
              </w:rPr>
              <w:t>6 a 11 años</w:t>
            </w:r>
          </w:p>
        </w:tc>
        <w:tc>
          <w:tcPr>
            <w:tcW w:w="1317" w:type="dxa"/>
          </w:tcPr>
          <w:p w14:paraId="154A8110" w14:textId="77777777" w:rsidR="00966B9A" w:rsidRPr="003836A1" w:rsidRDefault="00966B9A" w:rsidP="003836A1">
            <w:pPr>
              <w:jc w:val="center"/>
              <w:rPr>
                <w:rFonts w:ascii="Arial" w:eastAsia="Arial" w:hAnsi="Arial" w:cs="Arial"/>
              </w:rPr>
            </w:pPr>
            <w:r w:rsidRPr="003836A1">
              <w:rPr>
                <w:rFonts w:ascii="Arial" w:eastAsia="Arial" w:hAnsi="Arial" w:cs="Arial"/>
              </w:rPr>
              <w:t>0</w:t>
            </w:r>
          </w:p>
        </w:tc>
        <w:tc>
          <w:tcPr>
            <w:tcW w:w="1049" w:type="dxa"/>
          </w:tcPr>
          <w:p w14:paraId="154A8111" w14:textId="77777777" w:rsidR="00966B9A" w:rsidRPr="003836A1" w:rsidRDefault="00966B9A" w:rsidP="003836A1">
            <w:pPr>
              <w:jc w:val="center"/>
              <w:rPr>
                <w:rFonts w:ascii="Arial" w:eastAsia="Arial" w:hAnsi="Arial" w:cs="Arial"/>
              </w:rPr>
            </w:pPr>
            <w:r w:rsidRPr="003836A1">
              <w:rPr>
                <w:rFonts w:ascii="Arial" w:eastAsia="Arial" w:hAnsi="Arial" w:cs="Arial"/>
              </w:rPr>
              <w:t>1</w:t>
            </w:r>
          </w:p>
        </w:tc>
        <w:tc>
          <w:tcPr>
            <w:tcW w:w="1292" w:type="dxa"/>
          </w:tcPr>
          <w:p w14:paraId="154A8112" w14:textId="77777777" w:rsidR="00966B9A" w:rsidRPr="003836A1" w:rsidRDefault="00966B9A" w:rsidP="003836A1">
            <w:pPr>
              <w:jc w:val="center"/>
              <w:rPr>
                <w:rFonts w:ascii="Arial" w:eastAsia="Arial" w:hAnsi="Arial" w:cs="Arial"/>
              </w:rPr>
            </w:pPr>
            <w:r w:rsidRPr="003836A1">
              <w:rPr>
                <w:rFonts w:ascii="Arial" w:eastAsia="Arial" w:hAnsi="Arial" w:cs="Arial"/>
              </w:rPr>
              <w:t>0</w:t>
            </w:r>
          </w:p>
        </w:tc>
        <w:tc>
          <w:tcPr>
            <w:tcW w:w="1031" w:type="dxa"/>
          </w:tcPr>
          <w:p w14:paraId="154A8113" w14:textId="77777777" w:rsidR="00966B9A" w:rsidRPr="003836A1" w:rsidRDefault="00966B9A" w:rsidP="003836A1">
            <w:pPr>
              <w:jc w:val="center"/>
              <w:rPr>
                <w:rFonts w:ascii="Arial" w:eastAsia="Arial" w:hAnsi="Arial" w:cs="Arial"/>
              </w:rPr>
            </w:pPr>
            <w:r w:rsidRPr="003836A1">
              <w:rPr>
                <w:rFonts w:ascii="Arial" w:eastAsia="Arial" w:hAnsi="Arial" w:cs="Arial"/>
              </w:rPr>
              <w:t>0</w:t>
            </w:r>
          </w:p>
        </w:tc>
        <w:tc>
          <w:tcPr>
            <w:tcW w:w="1086" w:type="dxa"/>
          </w:tcPr>
          <w:p w14:paraId="154A8114" w14:textId="77777777" w:rsidR="00966B9A" w:rsidRPr="003836A1" w:rsidRDefault="00966B9A" w:rsidP="003836A1">
            <w:pPr>
              <w:jc w:val="center"/>
              <w:rPr>
                <w:rFonts w:ascii="Arial" w:eastAsia="Arial" w:hAnsi="Arial" w:cs="Arial"/>
              </w:rPr>
            </w:pPr>
            <w:r w:rsidRPr="003836A1">
              <w:rPr>
                <w:rFonts w:ascii="Arial" w:eastAsia="Arial" w:hAnsi="Arial" w:cs="Arial"/>
              </w:rPr>
              <w:t>0</w:t>
            </w:r>
          </w:p>
        </w:tc>
        <w:tc>
          <w:tcPr>
            <w:tcW w:w="1427" w:type="dxa"/>
          </w:tcPr>
          <w:p w14:paraId="154A8115" w14:textId="77777777" w:rsidR="00966B9A" w:rsidRPr="003836A1" w:rsidRDefault="00966B9A" w:rsidP="003836A1">
            <w:pPr>
              <w:jc w:val="center"/>
              <w:rPr>
                <w:rFonts w:ascii="Arial" w:eastAsia="Arial" w:hAnsi="Arial" w:cs="Arial"/>
              </w:rPr>
            </w:pPr>
            <w:r w:rsidRPr="003836A1">
              <w:rPr>
                <w:rFonts w:ascii="Arial" w:eastAsia="Arial" w:hAnsi="Arial" w:cs="Arial"/>
              </w:rPr>
              <w:t>0</w:t>
            </w:r>
          </w:p>
        </w:tc>
      </w:tr>
      <w:tr w:rsidR="003836A1" w:rsidRPr="003836A1" w14:paraId="154A811F" w14:textId="77777777" w:rsidTr="00966B9A">
        <w:tc>
          <w:tcPr>
            <w:tcW w:w="806" w:type="dxa"/>
            <w:vMerge/>
          </w:tcPr>
          <w:p w14:paraId="154A8117" w14:textId="77777777" w:rsidR="00966B9A" w:rsidRPr="003836A1" w:rsidRDefault="00966B9A" w:rsidP="003836A1">
            <w:pPr>
              <w:jc w:val="center"/>
              <w:rPr>
                <w:rFonts w:ascii="Arial" w:eastAsia="Arial" w:hAnsi="Arial" w:cs="Arial"/>
              </w:rPr>
            </w:pPr>
          </w:p>
        </w:tc>
        <w:tc>
          <w:tcPr>
            <w:tcW w:w="1058" w:type="dxa"/>
          </w:tcPr>
          <w:p w14:paraId="154A8118" w14:textId="77777777" w:rsidR="00966B9A" w:rsidRPr="005D703F" w:rsidRDefault="00966B9A" w:rsidP="003836A1">
            <w:pPr>
              <w:jc w:val="center"/>
              <w:rPr>
                <w:rFonts w:ascii="Arial" w:eastAsia="Arial" w:hAnsi="Arial" w:cs="Arial"/>
                <w:sz w:val="20"/>
              </w:rPr>
            </w:pPr>
            <w:r w:rsidRPr="005D703F">
              <w:rPr>
                <w:rFonts w:ascii="Arial" w:eastAsia="Arial" w:hAnsi="Arial" w:cs="Arial"/>
                <w:sz w:val="20"/>
              </w:rPr>
              <w:t>12 17 años</w:t>
            </w:r>
          </w:p>
        </w:tc>
        <w:tc>
          <w:tcPr>
            <w:tcW w:w="1317" w:type="dxa"/>
          </w:tcPr>
          <w:p w14:paraId="154A8119" w14:textId="77777777" w:rsidR="00966B9A" w:rsidRPr="003836A1" w:rsidRDefault="00966B9A" w:rsidP="003836A1">
            <w:pPr>
              <w:jc w:val="center"/>
              <w:rPr>
                <w:rFonts w:ascii="Arial" w:eastAsia="Arial" w:hAnsi="Arial" w:cs="Arial"/>
              </w:rPr>
            </w:pPr>
            <w:r w:rsidRPr="003836A1">
              <w:rPr>
                <w:rFonts w:ascii="Arial" w:eastAsia="Arial" w:hAnsi="Arial" w:cs="Arial"/>
              </w:rPr>
              <w:t>1.025</w:t>
            </w:r>
          </w:p>
        </w:tc>
        <w:tc>
          <w:tcPr>
            <w:tcW w:w="1049" w:type="dxa"/>
          </w:tcPr>
          <w:p w14:paraId="154A811A" w14:textId="77777777" w:rsidR="00966B9A" w:rsidRPr="003836A1" w:rsidRDefault="00966B9A" w:rsidP="003836A1">
            <w:pPr>
              <w:jc w:val="center"/>
              <w:rPr>
                <w:rFonts w:ascii="Arial" w:eastAsia="Arial" w:hAnsi="Arial" w:cs="Arial"/>
              </w:rPr>
            </w:pPr>
            <w:r w:rsidRPr="003836A1">
              <w:rPr>
                <w:rFonts w:ascii="Arial" w:eastAsia="Arial" w:hAnsi="Arial" w:cs="Arial"/>
              </w:rPr>
              <w:t>563</w:t>
            </w:r>
          </w:p>
        </w:tc>
        <w:tc>
          <w:tcPr>
            <w:tcW w:w="1292" w:type="dxa"/>
          </w:tcPr>
          <w:p w14:paraId="154A811B" w14:textId="77777777" w:rsidR="00966B9A" w:rsidRPr="003836A1" w:rsidRDefault="00966B9A" w:rsidP="003836A1">
            <w:pPr>
              <w:jc w:val="center"/>
              <w:rPr>
                <w:rFonts w:ascii="Arial" w:eastAsia="Arial" w:hAnsi="Arial" w:cs="Arial"/>
              </w:rPr>
            </w:pPr>
            <w:r w:rsidRPr="003836A1">
              <w:rPr>
                <w:rFonts w:ascii="Arial" w:eastAsia="Arial" w:hAnsi="Arial" w:cs="Arial"/>
              </w:rPr>
              <w:t>612</w:t>
            </w:r>
          </w:p>
        </w:tc>
        <w:tc>
          <w:tcPr>
            <w:tcW w:w="1031" w:type="dxa"/>
          </w:tcPr>
          <w:p w14:paraId="154A811C" w14:textId="77777777" w:rsidR="00966B9A" w:rsidRPr="003836A1" w:rsidRDefault="00966B9A" w:rsidP="003836A1">
            <w:pPr>
              <w:jc w:val="center"/>
              <w:rPr>
                <w:rFonts w:ascii="Arial" w:eastAsia="Arial" w:hAnsi="Arial" w:cs="Arial"/>
              </w:rPr>
            </w:pPr>
            <w:r w:rsidRPr="003836A1">
              <w:rPr>
                <w:rFonts w:ascii="Arial" w:eastAsia="Arial" w:hAnsi="Arial" w:cs="Arial"/>
              </w:rPr>
              <w:t>108</w:t>
            </w:r>
          </w:p>
        </w:tc>
        <w:tc>
          <w:tcPr>
            <w:tcW w:w="1086" w:type="dxa"/>
          </w:tcPr>
          <w:p w14:paraId="154A811D" w14:textId="77777777" w:rsidR="00966B9A" w:rsidRPr="003836A1" w:rsidRDefault="00966B9A" w:rsidP="003836A1">
            <w:pPr>
              <w:jc w:val="center"/>
              <w:rPr>
                <w:rFonts w:ascii="Arial" w:eastAsia="Arial" w:hAnsi="Arial" w:cs="Arial"/>
              </w:rPr>
            </w:pPr>
            <w:r w:rsidRPr="003836A1">
              <w:rPr>
                <w:rFonts w:ascii="Arial" w:eastAsia="Arial" w:hAnsi="Arial" w:cs="Arial"/>
              </w:rPr>
              <w:t>256</w:t>
            </w:r>
          </w:p>
        </w:tc>
        <w:tc>
          <w:tcPr>
            <w:tcW w:w="1427" w:type="dxa"/>
          </w:tcPr>
          <w:p w14:paraId="154A811E" w14:textId="77777777" w:rsidR="00966B9A" w:rsidRPr="003836A1" w:rsidRDefault="00966B9A" w:rsidP="003836A1">
            <w:pPr>
              <w:jc w:val="center"/>
              <w:rPr>
                <w:rFonts w:ascii="Arial" w:eastAsia="Arial" w:hAnsi="Arial" w:cs="Arial"/>
              </w:rPr>
            </w:pPr>
            <w:r w:rsidRPr="003836A1">
              <w:rPr>
                <w:rFonts w:ascii="Arial" w:eastAsia="Arial" w:hAnsi="Arial" w:cs="Arial"/>
              </w:rPr>
              <w:t>186</w:t>
            </w:r>
          </w:p>
        </w:tc>
      </w:tr>
      <w:tr w:rsidR="003836A1" w:rsidRPr="003836A1" w14:paraId="154A8129" w14:textId="77777777" w:rsidTr="00966B9A">
        <w:tc>
          <w:tcPr>
            <w:tcW w:w="806" w:type="dxa"/>
            <w:vMerge w:val="restart"/>
          </w:tcPr>
          <w:p w14:paraId="154A8120" w14:textId="77777777" w:rsidR="00966B9A" w:rsidRPr="003836A1" w:rsidRDefault="00966B9A" w:rsidP="003836A1">
            <w:pPr>
              <w:jc w:val="center"/>
              <w:rPr>
                <w:rFonts w:ascii="Arial" w:eastAsia="Arial" w:hAnsi="Arial" w:cs="Arial"/>
              </w:rPr>
            </w:pPr>
          </w:p>
          <w:p w14:paraId="154A8121" w14:textId="77777777" w:rsidR="00966B9A" w:rsidRPr="003836A1" w:rsidRDefault="00966B9A" w:rsidP="003836A1">
            <w:pPr>
              <w:jc w:val="center"/>
              <w:rPr>
                <w:rFonts w:ascii="Arial" w:eastAsia="Arial" w:hAnsi="Arial" w:cs="Arial"/>
              </w:rPr>
            </w:pPr>
            <w:r w:rsidRPr="003836A1">
              <w:rPr>
                <w:rFonts w:ascii="Arial" w:eastAsia="Arial" w:hAnsi="Arial" w:cs="Arial"/>
              </w:rPr>
              <w:t>2023</w:t>
            </w:r>
          </w:p>
        </w:tc>
        <w:tc>
          <w:tcPr>
            <w:tcW w:w="1058" w:type="dxa"/>
          </w:tcPr>
          <w:p w14:paraId="154A8122" w14:textId="77777777" w:rsidR="00966B9A" w:rsidRPr="005D703F" w:rsidRDefault="00966B9A" w:rsidP="003836A1">
            <w:pPr>
              <w:jc w:val="center"/>
              <w:rPr>
                <w:rFonts w:ascii="Arial" w:eastAsia="Arial" w:hAnsi="Arial" w:cs="Arial"/>
                <w:sz w:val="20"/>
              </w:rPr>
            </w:pPr>
            <w:r w:rsidRPr="005D703F">
              <w:rPr>
                <w:rFonts w:ascii="Arial" w:eastAsia="Arial" w:hAnsi="Arial" w:cs="Arial"/>
                <w:sz w:val="20"/>
              </w:rPr>
              <w:t>6 a 11 años</w:t>
            </w:r>
          </w:p>
        </w:tc>
        <w:tc>
          <w:tcPr>
            <w:tcW w:w="1317" w:type="dxa"/>
          </w:tcPr>
          <w:p w14:paraId="154A8123" w14:textId="77777777" w:rsidR="00966B9A" w:rsidRPr="003836A1" w:rsidRDefault="00966B9A" w:rsidP="003836A1">
            <w:pPr>
              <w:jc w:val="center"/>
              <w:rPr>
                <w:rFonts w:ascii="Arial" w:eastAsia="Arial" w:hAnsi="Arial" w:cs="Arial"/>
              </w:rPr>
            </w:pPr>
            <w:r w:rsidRPr="003836A1">
              <w:rPr>
                <w:rFonts w:ascii="Arial" w:eastAsia="Arial" w:hAnsi="Arial" w:cs="Arial"/>
              </w:rPr>
              <w:t>2</w:t>
            </w:r>
          </w:p>
        </w:tc>
        <w:tc>
          <w:tcPr>
            <w:tcW w:w="1049" w:type="dxa"/>
          </w:tcPr>
          <w:p w14:paraId="154A8124" w14:textId="77777777" w:rsidR="00966B9A" w:rsidRPr="003836A1" w:rsidRDefault="00966B9A" w:rsidP="003836A1">
            <w:pPr>
              <w:jc w:val="center"/>
              <w:rPr>
                <w:rFonts w:ascii="Arial" w:eastAsia="Arial" w:hAnsi="Arial" w:cs="Arial"/>
              </w:rPr>
            </w:pPr>
            <w:r w:rsidRPr="003836A1">
              <w:rPr>
                <w:rFonts w:ascii="Arial" w:eastAsia="Arial" w:hAnsi="Arial" w:cs="Arial"/>
              </w:rPr>
              <w:t>1</w:t>
            </w:r>
          </w:p>
        </w:tc>
        <w:tc>
          <w:tcPr>
            <w:tcW w:w="1292" w:type="dxa"/>
          </w:tcPr>
          <w:p w14:paraId="154A8125" w14:textId="77777777" w:rsidR="00966B9A" w:rsidRPr="003836A1" w:rsidRDefault="00966B9A" w:rsidP="003836A1">
            <w:pPr>
              <w:jc w:val="center"/>
              <w:rPr>
                <w:rFonts w:ascii="Arial" w:eastAsia="Arial" w:hAnsi="Arial" w:cs="Arial"/>
              </w:rPr>
            </w:pPr>
            <w:r w:rsidRPr="003836A1">
              <w:rPr>
                <w:rFonts w:ascii="Arial" w:eastAsia="Arial" w:hAnsi="Arial" w:cs="Arial"/>
              </w:rPr>
              <w:t>2</w:t>
            </w:r>
          </w:p>
        </w:tc>
        <w:tc>
          <w:tcPr>
            <w:tcW w:w="1031" w:type="dxa"/>
          </w:tcPr>
          <w:p w14:paraId="154A8126" w14:textId="77777777" w:rsidR="00966B9A" w:rsidRPr="003836A1" w:rsidRDefault="00966B9A" w:rsidP="003836A1">
            <w:pPr>
              <w:jc w:val="center"/>
              <w:rPr>
                <w:rFonts w:ascii="Arial" w:eastAsia="Arial" w:hAnsi="Arial" w:cs="Arial"/>
              </w:rPr>
            </w:pPr>
            <w:r w:rsidRPr="003836A1">
              <w:rPr>
                <w:rFonts w:ascii="Arial" w:eastAsia="Arial" w:hAnsi="Arial" w:cs="Arial"/>
              </w:rPr>
              <w:t>0</w:t>
            </w:r>
          </w:p>
        </w:tc>
        <w:tc>
          <w:tcPr>
            <w:tcW w:w="1086" w:type="dxa"/>
          </w:tcPr>
          <w:p w14:paraId="154A8127" w14:textId="77777777" w:rsidR="00966B9A" w:rsidRPr="003836A1" w:rsidRDefault="00966B9A" w:rsidP="003836A1">
            <w:pPr>
              <w:jc w:val="center"/>
              <w:rPr>
                <w:rFonts w:ascii="Arial" w:eastAsia="Arial" w:hAnsi="Arial" w:cs="Arial"/>
              </w:rPr>
            </w:pPr>
            <w:r w:rsidRPr="003836A1">
              <w:rPr>
                <w:rFonts w:ascii="Arial" w:eastAsia="Arial" w:hAnsi="Arial" w:cs="Arial"/>
              </w:rPr>
              <w:t>0</w:t>
            </w:r>
          </w:p>
        </w:tc>
        <w:tc>
          <w:tcPr>
            <w:tcW w:w="1427" w:type="dxa"/>
          </w:tcPr>
          <w:p w14:paraId="154A8128" w14:textId="77777777" w:rsidR="00966B9A" w:rsidRPr="003836A1" w:rsidRDefault="00966B9A" w:rsidP="003836A1">
            <w:pPr>
              <w:jc w:val="center"/>
              <w:rPr>
                <w:rFonts w:ascii="Arial" w:eastAsia="Arial" w:hAnsi="Arial" w:cs="Arial"/>
              </w:rPr>
            </w:pPr>
            <w:r w:rsidRPr="003836A1">
              <w:rPr>
                <w:rFonts w:ascii="Arial" w:eastAsia="Arial" w:hAnsi="Arial" w:cs="Arial"/>
              </w:rPr>
              <w:t>0</w:t>
            </w:r>
          </w:p>
        </w:tc>
      </w:tr>
      <w:tr w:rsidR="003836A1" w:rsidRPr="003836A1" w14:paraId="154A8132" w14:textId="77777777" w:rsidTr="00966B9A">
        <w:tc>
          <w:tcPr>
            <w:tcW w:w="806" w:type="dxa"/>
            <w:vMerge/>
          </w:tcPr>
          <w:p w14:paraId="154A812A" w14:textId="77777777" w:rsidR="00966B9A" w:rsidRPr="003836A1" w:rsidRDefault="00966B9A" w:rsidP="003836A1">
            <w:pPr>
              <w:jc w:val="center"/>
              <w:rPr>
                <w:rFonts w:ascii="Arial" w:eastAsia="Arial" w:hAnsi="Arial" w:cs="Arial"/>
              </w:rPr>
            </w:pPr>
          </w:p>
        </w:tc>
        <w:tc>
          <w:tcPr>
            <w:tcW w:w="1058" w:type="dxa"/>
          </w:tcPr>
          <w:p w14:paraId="154A812B" w14:textId="77777777" w:rsidR="00966B9A" w:rsidRPr="005D703F" w:rsidRDefault="00966B9A" w:rsidP="003836A1">
            <w:pPr>
              <w:jc w:val="center"/>
              <w:rPr>
                <w:rFonts w:ascii="Arial" w:eastAsia="Arial" w:hAnsi="Arial" w:cs="Arial"/>
                <w:sz w:val="20"/>
              </w:rPr>
            </w:pPr>
            <w:r w:rsidRPr="005D703F">
              <w:rPr>
                <w:rFonts w:ascii="Arial" w:eastAsia="Arial" w:hAnsi="Arial" w:cs="Arial"/>
                <w:sz w:val="20"/>
              </w:rPr>
              <w:t>12 17 años</w:t>
            </w:r>
          </w:p>
        </w:tc>
        <w:tc>
          <w:tcPr>
            <w:tcW w:w="1317" w:type="dxa"/>
          </w:tcPr>
          <w:p w14:paraId="154A812C" w14:textId="77777777" w:rsidR="00966B9A" w:rsidRPr="003836A1" w:rsidRDefault="00966B9A" w:rsidP="003836A1">
            <w:pPr>
              <w:jc w:val="center"/>
              <w:rPr>
                <w:rFonts w:ascii="Arial" w:eastAsia="Arial" w:hAnsi="Arial" w:cs="Arial"/>
              </w:rPr>
            </w:pPr>
            <w:r w:rsidRPr="003836A1">
              <w:rPr>
                <w:rFonts w:ascii="Arial" w:eastAsia="Arial" w:hAnsi="Arial" w:cs="Arial"/>
              </w:rPr>
              <w:t>869</w:t>
            </w:r>
          </w:p>
        </w:tc>
        <w:tc>
          <w:tcPr>
            <w:tcW w:w="1049" w:type="dxa"/>
          </w:tcPr>
          <w:p w14:paraId="154A812D" w14:textId="77777777" w:rsidR="00966B9A" w:rsidRPr="003836A1" w:rsidRDefault="00966B9A" w:rsidP="003836A1">
            <w:pPr>
              <w:jc w:val="center"/>
              <w:rPr>
                <w:rFonts w:ascii="Arial" w:eastAsia="Arial" w:hAnsi="Arial" w:cs="Arial"/>
              </w:rPr>
            </w:pPr>
            <w:r w:rsidRPr="003836A1">
              <w:rPr>
                <w:rFonts w:ascii="Arial" w:eastAsia="Arial" w:hAnsi="Arial" w:cs="Arial"/>
              </w:rPr>
              <w:t>418</w:t>
            </w:r>
          </w:p>
        </w:tc>
        <w:tc>
          <w:tcPr>
            <w:tcW w:w="1292" w:type="dxa"/>
          </w:tcPr>
          <w:p w14:paraId="154A812E" w14:textId="77777777" w:rsidR="00966B9A" w:rsidRPr="003836A1" w:rsidRDefault="00966B9A" w:rsidP="003836A1">
            <w:pPr>
              <w:jc w:val="center"/>
              <w:rPr>
                <w:rFonts w:ascii="Arial" w:eastAsia="Arial" w:hAnsi="Arial" w:cs="Arial"/>
              </w:rPr>
            </w:pPr>
            <w:r w:rsidRPr="003836A1">
              <w:rPr>
                <w:rFonts w:ascii="Arial" w:eastAsia="Arial" w:hAnsi="Arial" w:cs="Arial"/>
              </w:rPr>
              <w:t>473</w:t>
            </w:r>
          </w:p>
        </w:tc>
        <w:tc>
          <w:tcPr>
            <w:tcW w:w="1031" w:type="dxa"/>
          </w:tcPr>
          <w:p w14:paraId="154A812F" w14:textId="77777777" w:rsidR="00966B9A" w:rsidRPr="003836A1" w:rsidRDefault="00966B9A" w:rsidP="003836A1">
            <w:pPr>
              <w:jc w:val="center"/>
              <w:rPr>
                <w:rFonts w:ascii="Arial" w:eastAsia="Arial" w:hAnsi="Arial" w:cs="Arial"/>
              </w:rPr>
            </w:pPr>
            <w:r w:rsidRPr="003836A1">
              <w:rPr>
                <w:rFonts w:ascii="Arial" w:eastAsia="Arial" w:hAnsi="Arial" w:cs="Arial"/>
              </w:rPr>
              <w:t>65</w:t>
            </w:r>
          </w:p>
        </w:tc>
        <w:tc>
          <w:tcPr>
            <w:tcW w:w="1086" w:type="dxa"/>
          </w:tcPr>
          <w:p w14:paraId="154A8130" w14:textId="77777777" w:rsidR="00966B9A" w:rsidRPr="003836A1" w:rsidRDefault="00966B9A" w:rsidP="003836A1">
            <w:pPr>
              <w:jc w:val="center"/>
              <w:rPr>
                <w:rFonts w:ascii="Arial" w:eastAsia="Arial" w:hAnsi="Arial" w:cs="Arial"/>
              </w:rPr>
            </w:pPr>
            <w:r w:rsidRPr="003836A1">
              <w:rPr>
                <w:rFonts w:ascii="Arial" w:eastAsia="Arial" w:hAnsi="Arial" w:cs="Arial"/>
              </w:rPr>
              <w:t>220</w:t>
            </w:r>
          </w:p>
        </w:tc>
        <w:tc>
          <w:tcPr>
            <w:tcW w:w="1427" w:type="dxa"/>
          </w:tcPr>
          <w:p w14:paraId="154A8131" w14:textId="77777777" w:rsidR="00966B9A" w:rsidRPr="003836A1" w:rsidRDefault="00966B9A" w:rsidP="003836A1">
            <w:pPr>
              <w:jc w:val="center"/>
              <w:rPr>
                <w:rFonts w:ascii="Arial" w:eastAsia="Arial" w:hAnsi="Arial" w:cs="Arial"/>
              </w:rPr>
            </w:pPr>
            <w:r w:rsidRPr="003836A1">
              <w:rPr>
                <w:rFonts w:ascii="Arial" w:eastAsia="Arial" w:hAnsi="Arial" w:cs="Arial"/>
              </w:rPr>
              <w:t>124</w:t>
            </w:r>
          </w:p>
        </w:tc>
      </w:tr>
      <w:tr w:rsidR="003836A1" w:rsidRPr="003836A1" w14:paraId="154A813C" w14:textId="77777777" w:rsidTr="00966B9A">
        <w:tc>
          <w:tcPr>
            <w:tcW w:w="806" w:type="dxa"/>
            <w:vMerge w:val="restart"/>
          </w:tcPr>
          <w:p w14:paraId="154A8133" w14:textId="77777777" w:rsidR="00966B9A" w:rsidRPr="003836A1" w:rsidRDefault="00966B9A" w:rsidP="003836A1">
            <w:pPr>
              <w:jc w:val="center"/>
              <w:rPr>
                <w:rFonts w:ascii="Arial" w:eastAsia="Arial" w:hAnsi="Arial" w:cs="Arial"/>
              </w:rPr>
            </w:pPr>
          </w:p>
          <w:p w14:paraId="154A8134" w14:textId="77777777" w:rsidR="00966B9A" w:rsidRPr="003836A1" w:rsidRDefault="00966B9A" w:rsidP="003836A1">
            <w:pPr>
              <w:jc w:val="center"/>
              <w:rPr>
                <w:rFonts w:ascii="Arial" w:eastAsia="Arial" w:hAnsi="Arial" w:cs="Arial"/>
              </w:rPr>
            </w:pPr>
            <w:r w:rsidRPr="003836A1">
              <w:rPr>
                <w:rFonts w:ascii="Arial" w:eastAsia="Arial" w:hAnsi="Arial" w:cs="Arial"/>
              </w:rPr>
              <w:t>2024</w:t>
            </w:r>
          </w:p>
        </w:tc>
        <w:tc>
          <w:tcPr>
            <w:tcW w:w="1058" w:type="dxa"/>
          </w:tcPr>
          <w:p w14:paraId="154A8135" w14:textId="77777777" w:rsidR="00966B9A" w:rsidRPr="005D703F" w:rsidRDefault="00966B9A" w:rsidP="003836A1">
            <w:pPr>
              <w:jc w:val="center"/>
              <w:rPr>
                <w:rFonts w:ascii="Arial" w:eastAsia="Arial" w:hAnsi="Arial" w:cs="Arial"/>
                <w:sz w:val="20"/>
              </w:rPr>
            </w:pPr>
            <w:r w:rsidRPr="005D703F">
              <w:rPr>
                <w:rFonts w:ascii="Arial" w:eastAsia="Arial" w:hAnsi="Arial" w:cs="Arial"/>
                <w:sz w:val="20"/>
              </w:rPr>
              <w:t>6 a 11 años</w:t>
            </w:r>
          </w:p>
        </w:tc>
        <w:tc>
          <w:tcPr>
            <w:tcW w:w="1317" w:type="dxa"/>
          </w:tcPr>
          <w:p w14:paraId="154A8136" w14:textId="77777777" w:rsidR="00966B9A" w:rsidRPr="003836A1" w:rsidRDefault="00966B9A" w:rsidP="003836A1">
            <w:pPr>
              <w:jc w:val="center"/>
              <w:rPr>
                <w:rFonts w:ascii="Arial" w:eastAsia="Arial" w:hAnsi="Arial" w:cs="Arial"/>
              </w:rPr>
            </w:pPr>
            <w:r w:rsidRPr="003836A1">
              <w:rPr>
                <w:rFonts w:ascii="Arial" w:eastAsia="Arial" w:hAnsi="Arial" w:cs="Arial"/>
              </w:rPr>
              <w:t>0</w:t>
            </w:r>
          </w:p>
        </w:tc>
        <w:tc>
          <w:tcPr>
            <w:tcW w:w="1049" w:type="dxa"/>
          </w:tcPr>
          <w:p w14:paraId="154A8137" w14:textId="77777777" w:rsidR="00966B9A" w:rsidRPr="003836A1" w:rsidRDefault="00966B9A" w:rsidP="003836A1">
            <w:pPr>
              <w:jc w:val="center"/>
              <w:rPr>
                <w:rFonts w:ascii="Arial" w:eastAsia="Arial" w:hAnsi="Arial" w:cs="Arial"/>
              </w:rPr>
            </w:pPr>
            <w:r w:rsidRPr="003836A1">
              <w:rPr>
                <w:rFonts w:ascii="Arial" w:eastAsia="Arial" w:hAnsi="Arial" w:cs="Arial"/>
              </w:rPr>
              <w:t>1</w:t>
            </w:r>
          </w:p>
        </w:tc>
        <w:tc>
          <w:tcPr>
            <w:tcW w:w="1292" w:type="dxa"/>
          </w:tcPr>
          <w:p w14:paraId="154A8138" w14:textId="77777777" w:rsidR="00966B9A" w:rsidRPr="003836A1" w:rsidRDefault="00966B9A" w:rsidP="003836A1">
            <w:pPr>
              <w:jc w:val="center"/>
              <w:rPr>
                <w:rFonts w:ascii="Arial" w:eastAsia="Arial" w:hAnsi="Arial" w:cs="Arial"/>
              </w:rPr>
            </w:pPr>
            <w:r w:rsidRPr="003836A1">
              <w:rPr>
                <w:rFonts w:ascii="Arial" w:eastAsia="Arial" w:hAnsi="Arial" w:cs="Arial"/>
              </w:rPr>
              <w:t>0</w:t>
            </w:r>
          </w:p>
        </w:tc>
        <w:tc>
          <w:tcPr>
            <w:tcW w:w="1031" w:type="dxa"/>
          </w:tcPr>
          <w:p w14:paraId="154A8139" w14:textId="77777777" w:rsidR="00966B9A" w:rsidRPr="003836A1" w:rsidRDefault="00966B9A" w:rsidP="003836A1">
            <w:pPr>
              <w:jc w:val="center"/>
              <w:rPr>
                <w:rFonts w:ascii="Arial" w:eastAsia="Arial" w:hAnsi="Arial" w:cs="Arial"/>
              </w:rPr>
            </w:pPr>
            <w:r w:rsidRPr="003836A1">
              <w:rPr>
                <w:rFonts w:ascii="Arial" w:eastAsia="Arial" w:hAnsi="Arial" w:cs="Arial"/>
              </w:rPr>
              <w:t>0</w:t>
            </w:r>
          </w:p>
        </w:tc>
        <w:tc>
          <w:tcPr>
            <w:tcW w:w="1086" w:type="dxa"/>
          </w:tcPr>
          <w:p w14:paraId="154A813A" w14:textId="77777777" w:rsidR="00966B9A" w:rsidRPr="003836A1" w:rsidRDefault="00966B9A" w:rsidP="003836A1">
            <w:pPr>
              <w:jc w:val="center"/>
              <w:rPr>
                <w:rFonts w:ascii="Arial" w:eastAsia="Arial" w:hAnsi="Arial" w:cs="Arial"/>
              </w:rPr>
            </w:pPr>
            <w:r w:rsidRPr="003836A1">
              <w:rPr>
                <w:rFonts w:ascii="Arial" w:eastAsia="Arial" w:hAnsi="Arial" w:cs="Arial"/>
              </w:rPr>
              <w:t>0</w:t>
            </w:r>
          </w:p>
        </w:tc>
        <w:tc>
          <w:tcPr>
            <w:tcW w:w="1427" w:type="dxa"/>
          </w:tcPr>
          <w:p w14:paraId="154A813B" w14:textId="77777777" w:rsidR="00966B9A" w:rsidRPr="003836A1" w:rsidRDefault="00966B9A" w:rsidP="003836A1">
            <w:pPr>
              <w:jc w:val="center"/>
              <w:rPr>
                <w:rFonts w:ascii="Arial" w:eastAsia="Arial" w:hAnsi="Arial" w:cs="Arial"/>
              </w:rPr>
            </w:pPr>
            <w:r w:rsidRPr="003836A1">
              <w:rPr>
                <w:rFonts w:ascii="Arial" w:eastAsia="Arial" w:hAnsi="Arial" w:cs="Arial"/>
              </w:rPr>
              <w:t>0</w:t>
            </w:r>
          </w:p>
        </w:tc>
      </w:tr>
      <w:tr w:rsidR="003836A1" w:rsidRPr="003836A1" w14:paraId="154A8145" w14:textId="77777777" w:rsidTr="00966B9A">
        <w:tc>
          <w:tcPr>
            <w:tcW w:w="806" w:type="dxa"/>
            <w:vMerge/>
          </w:tcPr>
          <w:p w14:paraId="154A813D" w14:textId="77777777" w:rsidR="00966B9A" w:rsidRPr="003836A1" w:rsidRDefault="00966B9A" w:rsidP="003836A1">
            <w:pPr>
              <w:jc w:val="both"/>
              <w:rPr>
                <w:rFonts w:ascii="Arial" w:eastAsia="Arial" w:hAnsi="Arial" w:cs="Arial"/>
              </w:rPr>
            </w:pPr>
          </w:p>
        </w:tc>
        <w:tc>
          <w:tcPr>
            <w:tcW w:w="1058" w:type="dxa"/>
          </w:tcPr>
          <w:p w14:paraId="154A813E" w14:textId="77777777" w:rsidR="00966B9A" w:rsidRPr="005D703F" w:rsidRDefault="00966B9A" w:rsidP="003836A1">
            <w:pPr>
              <w:jc w:val="center"/>
              <w:rPr>
                <w:rFonts w:ascii="Arial" w:eastAsia="Arial" w:hAnsi="Arial" w:cs="Arial"/>
                <w:sz w:val="20"/>
              </w:rPr>
            </w:pPr>
            <w:r w:rsidRPr="005D703F">
              <w:rPr>
                <w:rFonts w:ascii="Arial" w:eastAsia="Arial" w:hAnsi="Arial" w:cs="Arial"/>
                <w:sz w:val="20"/>
              </w:rPr>
              <w:t>12 17 años</w:t>
            </w:r>
          </w:p>
        </w:tc>
        <w:tc>
          <w:tcPr>
            <w:tcW w:w="1317" w:type="dxa"/>
          </w:tcPr>
          <w:p w14:paraId="154A813F" w14:textId="77777777" w:rsidR="00966B9A" w:rsidRPr="003836A1" w:rsidRDefault="00966B9A" w:rsidP="003836A1">
            <w:pPr>
              <w:jc w:val="center"/>
              <w:rPr>
                <w:rFonts w:ascii="Arial" w:eastAsia="Arial" w:hAnsi="Arial" w:cs="Arial"/>
              </w:rPr>
            </w:pPr>
            <w:r w:rsidRPr="003836A1">
              <w:rPr>
                <w:rFonts w:ascii="Arial" w:eastAsia="Arial" w:hAnsi="Arial" w:cs="Arial"/>
              </w:rPr>
              <w:t>433</w:t>
            </w:r>
          </w:p>
        </w:tc>
        <w:tc>
          <w:tcPr>
            <w:tcW w:w="1049" w:type="dxa"/>
          </w:tcPr>
          <w:p w14:paraId="154A8140" w14:textId="77777777" w:rsidR="00966B9A" w:rsidRPr="003836A1" w:rsidRDefault="00966B9A" w:rsidP="003836A1">
            <w:pPr>
              <w:jc w:val="center"/>
              <w:rPr>
                <w:rFonts w:ascii="Arial" w:eastAsia="Arial" w:hAnsi="Arial" w:cs="Arial"/>
              </w:rPr>
            </w:pPr>
            <w:r w:rsidRPr="003836A1">
              <w:rPr>
                <w:rFonts w:ascii="Arial" w:eastAsia="Arial" w:hAnsi="Arial" w:cs="Arial"/>
              </w:rPr>
              <w:t>172</w:t>
            </w:r>
          </w:p>
        </w:tc>
        <w:tc>
          <w:tcPr>
            <w:tcW w:w="1292" w:type="dxa"/>
          </w:tcPr>
          <w:p w14:paraId="154A8141" w14:textId="77777777" w:rsidR="00966B9A" w:rsidRPr="003836A1" w:rsidRDefault="00966B9A" w:rsidP="003836A1">
            <w:pPr>
              <w:jc w:val="center"/>
              <w:rPr>
                <w:rFonts w:ascii="Arial" w:eastAsia="Arial" w:hAnsi="Arial" w:cs="Arial"/>
              </w:rPr>
            </w:pPr>
            <w:r w:rsidRPr="003836A1">
              <w:rPr>
                <w:rFonts w:ascii="Arial" w:eastAsia="Arial" w:hAnsi="Arial" w:cs="Arial"/>
              </w:rPr>
              <w:t>185</w:t>
            </w:r>
          </w:p>
        </w:tc>
        <w:tc>
          <w:tcPr>
            <w:tcW w:w="1031" w:type="dxa"/>
          </w:tcPr>
          <w:p w14:paraId="154A8142" w14:textId="77777777" w:rsidR="00966B9A" w:rsidRPr="003836A1" w:rsidRDefault="00966B9A" w:rsidP="003836A1">
            <w:pPr>
              <w:jc w:val="center"/>
              <w:rPr>
                <w:rFonts w:ascii="Arial" w:eastAsia="Arial" w:hAnsi="Arial" w:cs="Arial"/>
              </w:rPr>
            </w:pPr>
            <w:r w:rsidRPr="003836A1">
              <w:rPr>
                <w:rFonts w:ascii="Arial" w:eastAsia="Arial" w:hAnsi="Arial" w:cs="Arial"/>
              </w:rPr>
              <w:t>36</w:t>
            </w:r>
          </w:p>
        </w:tc>
        <w:tc>
          <w:tcPr>
            <w:tcW w:w="1086" w:type="dxa"/>
          </w:tcPr>
          <w:p w14:paraId="154A8143" w14:textId="77777777" w:rsidR="00966B9A" w:rsidRPr="003836A1" w:rsidRDefault="00966B9A" w:rsidP="003836A1">
            <w:pPr>
              <w:jc w:val="center"/>
              <w:rPr>
                <w:rFonts w:ascii="Arial" w:eastAsia="Arial" w:hAnsi="Arial" w:cs="Arial"/>
              </w:rPr>
            </w:pPr>
            <w:r w:rsidRPr="003836A1">
              <w:rPr>
                <w:rFonts w:ascii="Arial" w:eastAsia="Arial" w:hAnsi="Arial" w:cs="Arial"/>
              </w:rPr>
              <w:t>96</w:t>
            </w:r>
          </w:p>
        </w:tc>
        <w:tc>
          <w:tcPr>
            <w:tcW w:w="1427" w:type="dxa"/>
          </w:tcPr>
          <w:p w14:paraId="154A8144" w14:textId="77777777" w:rsidR="00966B9A" w:rsidRPr="003836A1" w:rsidRDefault="00966B9A" w:rsidP="003836A1">
            <w:pPr>
              <w:jc w:val="center"/>
              <w:rPr>
                <w:rFonts w:ascii="Arial" w:eastAsia="Arial" w:hAnsi="Arial" w:cs="Arial"/>
              </w:rPr>
            </w:pPr>
            <w:r w:rsidRPr="003836A1">
              <w:rPr>
                <w:rFonts w:ascii="Arial" w:eastAsia="Arial" w:hAnsi="Arial" w:cs="Arial"/>
              </w:rPr>
              <w:t>37</w:t>
            </w:r>
          </w:p>
        </w:tc>
      </w:tr>
      <w:tr w:rsidR="003836A1" w:rsidRPr="003836A1" w14:paraId="154A814D" w14:textId="77777777" w:rsidTr="001935F5">
        <w:tc>
          <w:tcPr>
            <w:tcW w:w="1864" w:type="dxa"/>
            <w:gridSpan w:val="2"/>
          </w:tcPr>
          <w:p w14:paraId="154A8146" w14:textId="77777777" w:rsidR="00CD4A60" w:rsidRPr="003836A1" w:rsidRDefault="00CD4A60" w:rsidP="003836A1">
            <w:pPr>
              <w:jc w:val="center"/>
              <w:rPr>
                <w:rFonts w:ascii="Arial" w:eastAsia="Arial" w:hAnsi="Arial" w:cs="Arial"/>
                <w:b/>
              </w:rPr>
            </w:pPr>
            <w:r w:rsidRPr="003836A1">
              <w:rPr>
                <w:rFonts w:ascii="Arial" w:eastAsia="Arial" w:hAnsi="Arial" w:cs="Arial"/>
                <w:b/>
              </w:rPr>
              <w:t xml:space="preserve">Total </w:t>
            </w:r>
          </w:p>
        </w:tc>
        <w:tc>
          <w:tcPr>
            <w:tcW w:w="1317" w:type="dxa"/>
          </w:tcPr>
          <w:p w14:paraId="154A8147" w14:textId="77777777" w:rsidR="00CD4A60" w:rsidRPr="003836A1" w:rsidRDefault="00CD4A60" w:rsidP="003836A1">
            <w:pPr>
              <w:jc w:val="center"/>
              <w:rPr>
                <w:rFonts w:ascii="Arial" w:eastAsia="Arial" w:hAnsi="Arial" w:cs="Arial"/>
                <w:b/>
              </w:rPr>
            </w:pPr>
            <w:r w:rsidRPr="003836A1">
              <w:rPr>
                <w:rFonts w:ascii="Arial" w:eastAsia="Arial" w:hAnsi="Arial" w:cs="Arial"/>
                <w:b/>
              </w:rPr>
              <w:t>2.329</w:t>
            </w:r>
          </w:p>
        </w:tc>
        <w:tc>
          <w:tcPr>
            <w:tcW w:w="1049" w:type="dxa"/>
          </w:tcPr>
          <w:p w14:paraId="154A8148" w14:textId="77777777" w:rsidR="00CD4A60" w:rsidRPr="003836A1" w:rsidRDefault="00CD4A60" w:rsidP="003836A1">
            <w:pPr>
              <w:jc w:val="center"/>
              <w:rPr>
                <w:rFonts w:ascii="Arial" w:eastAsia="Arial" w:hAnsi="Arial" w:cs="Arial"/>
                <w:b/>
              </w:rPr>
            </w:pPr>
            <w:r w:rsidRPr="003836A1">
              <w:rPr>
                <w:rFonts w:ascii="Arial" w:eastAsia="Arial" w:hAnsi="Arial" w:cs="Arial"/>
                <w:b/>
              </w:rPr>
              <w:t>1.156</w:t>
            </w:r>
          </w:p>
        </w:tc>
        <w:tc>
          <w:tcPr>
            <w:tcW w:w="1292" w:type="dxa"/>
          </w:tcPr>
          <w:p w14:paraId="154A8149" w14:textId="77777777" w:rsidR="00CD4A60" w:rsidRPr="003836A1" w:rsidRDefault="00CD4A60" w:rsidP="003836A1">
            <w:pPr>
              <w:jc w:val="center"/>
              <w:rPr>
                <w:rFonts w:ascii="Arial" w:eastAsia="Arial" w:hAnsi="Arial" w:cs="Arial"/>
                <w:b/>
              </w:rPr>
            </w:pPr>
            <w:r w:rsidRPr="003836A1">
              <w:rPr>
                <w:rFonts w:ascii="Arial" w:eastAsia="Arial" w:hAnsi="Arial" w:cs="Arial"/>
                <w:b/>
              </w:rPr>
              <w:t>1.272</w:t>
            </w:r>
          </w:p>
        </w:tc>
        <w:tc>
          <w:tcPr>
            <w:tcW w:w="1031" w:type="dxa"/>
          </w:tcPr>
          <w:p w14:paraId="154A814A" w14:textId="77777777" w:rsidR="00CD4A60" w:rsidRPr="003836A1" w:rsidRDefault="00CD4A60" w:rsidP="003836A1">
            <w:pPr>
              <w:jc w:val="center"/>
              <w:rPr>
                <w:rFonts w:ascii="Arial" w:eastAsia="Arial" w:hAnsi="Arial" w:cs="Arial"/>
                <w:b/>
              </w:rPr>
            </w:pPr>
            <w:r w:rsidRPr="003836A1">
              <w:rPr>
                <w:rFonts w:ascii="Arial" w:eastAsia="Arial" w:hAnsi="Arial" w:cs="Arial"/>
                <w:b/>
              </w:rPr>
              <w:t>209</w:t>
            </w:r>
          </w:p>
        </w:tc>
        <w:tc>
          <w:tcPr>
            <w:tcW w:w="1086" w:type="dxa"/>
          </w:tcPr>
          <w:p w14:paraId="154A814B" w14:textId="77777777" w:rsidR="00CD4A60" w:rsidRPr="003836A1" w:rsidRDefault="00CD4A60" w:rsidP="003836A1">
            <w:pPr>
              <w:jc w:val="center"/>
              <w:rPr>
                <w:rFonts w:ascii="Arial" w:eastAsia="Arial" w:hAnsi="Arial" w:cs="Arial"/>
                <w:b/>
              </w:rPr>
            </w:pPr>
            <w:r w:rsidRPr="003836A1">
              <w:rPr>
                <w:rFonts w:ascii="Arial" w:eastAsia="Arial" w:hAnsi="Arial" w:cs="Arial"/>
                <w:b/>
              </w:rPr>
              <w:t>572</w:t>
            </w:r>
          </w:p>
        </w:tc>
        <w:tc>
          <w:tcPr>
            <w:tcW w:w="1427" w:type="dxa"/>
          </w:tcPr>
          <w:p w14:paraId="154A814C" w14:textId="77777777" w:rsidR="00CD4A60" w:rsidRPr="003836A1" w:rsidRDefault="00CD4A60" w:rsidP="003836A1">
            <w:pPr>
              <w:jc w:val="center"/>
              <w:rPr>
                <w:rFonts w:ascii="Arial" w:eastAsia="Arial" w:hAnsi="Arial" w:cs="Arial"/>
                <w:b/>
              </w:rPr>
            </w:pPr>
            <w:r w:rsidRPr="003836A1">
              <w:rPr>
                <w:rFonts w:ascii="Arial" w:eastAsia="Arial" w:hAnsi="Arial" w:cs="Arial"/>
                <w:b/>
              </w:rPr>
              <w:t>347</w:t>
            </w:r>
          </w:p>
        </w:tc>
      </w:tr>
    </w:tbl>
    <w:p w14:paraId="154A814E" w14:textId="77777777" w:rsidR="00966B9A" w:rsidRPr="003836A1" w:rsidRDefault="00966B9A" w:rsidP="003836A1">
      <w:pPr>
        <w:jc w:val="both"/>
        <w:rPr>
          <w:rFonts w:ascii="Arial" w:eastAsia="Arial" w:hAnsi="Arial" w:cs="Arial"/>
          <w:i/>
        </w:rPr>
      </w:pPr>
      <w:r w:rsidRPr="003836A1">
        <w:rPr>
          <w:rFonts w:ascii="Arial" w:eastAsia="Arial" w:hAnsi="Arial" w:cs="Arial"/>
          <w:i/>
        </w:rPr>
        <w:t xml:space="preserve">Nota. Tomado de la respuesta a la Proposición 1009 de 2024 emitida por la SED </w:t>
      </w:r>
    </w:p>
    <w:p w14:paraId="154A814F" w14:textId="77777777" w:rsidR="00C62369" w:rsidRPr="003836A1" w:rsidRDefault="00C62369" w:rsidP="003836A1">
      <w:pPr>
        <w:jc w:val="both"/>
        <w:rPr>
          <w:rFonts w:ascii="Arial" w:eastAsia="Arial" w:hAnsi="Arial" w:cs="Arial"/>
        </w:rPr>
      </w:pPr>
    </w:p>
    <w:p w14:paraId="154A8150" w14:textId="77777777" w:rsidR="00610266" w:rsidRPr="005D703F" w:rsidRDefault="00F95AB8" w:rsidP="005D703F">
      <w:pPr>
        <w:pStyle w:val="Prrafodelista"/>
        <w:widowControl/>
        <w:numPr>
          <w:ilvl w:val="1"/>
          <w:numId w:val="17"/>
        </w:numPr>
        <w:pBdr>
          <w:top w:val="nil"/>
          <w:left w:val="nil"/>
          <w:bottom w:val="nil"/>
          <w:right w:val="nil"/>
          <w:between w:val="nil"/>
        </w:pBdr>
        <w:jc w:val="both"/>
        <w:rPr>
          <w:rFonts w:ascii="Arial" w:eastAsia="Arial" w:hAnsi="Arial" w:cs="Arial"/>
          <w:b/>
        </w:rPr>
      </w:pPr>
      <w:r w:rsidRPr="005D703F">
        <w:rPr>
          <w:rFonts w:ascii="Arial" w:eastAsia="Arial" w:hAnsi="Arial" w:cs="Arial"/>
          <w:b/>
        </w:rPr>
        <w:t>Efectos de la exposición secundaria al humo de la marihuana</w:t>
      </w:r>
    </w:p>
    <w:p w14:paraId="154A8151" w14:textId="77777777" w:rsidR="00610266" w:rsidRPr="003836A1" w:rsidRDefault="00610266" w:rsidP="003836A1">
      <w:pPr>
        <w:jc w:val="both"/>
        <w:rPr>
          <w:rFonts w:ascii="Arial" w:eastAsia="Arial" w:hAnsi="Arial" w:cs="Arial"/>
          <w:b/>
        </w:rPr>
      </w:pPr>
    </w:p>
    <w:p w14:paraId="154A8152"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De acuerdo con el reporte de investigación realizado por el National Institute on Drug Abuse (s.f.) demostraron mediante un estudio, que la cantidad de THC (tetrahidrocannabinol o dronabinol, principal constituyente psicoactivo del cannabis) presente en la sangre de personas que no consumen marihuana y que durante tres horas estuvieron en un área con buena ventilación, junto con personas que fumaban marihuana ocasionalmente, se evidenció la presencia de THC en la sangre de aquellas personas que no fumaron, aunque la cantidad estuvo por debajo para que marque en una prueba de drogas. </w:t>
      </w:r>
    </w:p>
    <w:p w14:paraId="154A8153" w14:textId="77777777" w:rsidR="00610266" w:rsidRPr="003836A1" w:rsidRDefault="00610266" w:rsidP="003836A1">
      <w:pPr>
        <w:jc w:val="both"/>
        <w:rPr>
          <w:rFonts w:ascii="Arial" w:eastAsia="Arial" w:hAnsi="Arial" w:cs="Arial"/>
        </w:rPr>
      </w:pPr>
    </w:p>
    <w:p w14:paraId="154A8154"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De otro lado, un estudio adicional en donde se cambiaron los niveles de ventilación, así como la potencia de la marihuana, se logró establecer que fue detectada marihuana en análisis de orina en las horas inmediatamente posteriores a la exposición, en aquellos participantes no fumadores que durante una hora estuvieron expuestos a marihuana con un nivel de THC del 11.3% en un espacio sin ventilación. </w:t>
      </w:r>
    </w:p>
    <w:p w14:paraId="154A8155" w14:textId="77777777" w:rsidR="00610266" w:rsidRPr="003836A1" w:rsidRDefault="00610266" w:rsidP="003836A1">
      <w:pPr>
        <w:jc w:val="both"/>
        <w:rPr>
          <w:rFonts w:ascii="Arial" w:eastAsia="Arial" w:hAnsi="Arial" w:cs="Arial"/>
        </w:rPr>
      </w:pPr>
    </w:p>
    <w:p w14:paraId="154A8156"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Así mismo, un estudio detectó que las personas que no fumaron y compartieron el espacio con personas que fumaban marihuana con gran contenido de THC presentaron algunos efectos de la droga como deficiencias en actividades motrices y euforia por contacto. </w:t>
      </w:r>
    </w:p>
    <w:p w14:paraId="154A8157" w14:textId="77777777" w:rsidR="00610266" w:rsidRPr="003836A1" w:rsidRDefault="00610266" w:rsidP="003836A1">
      <w:pPr>
        <w:jc w:val="both"/>
        <w:rPr>
          <w:rFonts w:ascii="Arial" w:eastAsia="Arial" w:hAnsi="Arial" w:cs="Arial"/>
        </w:rPr>
      </w:pPr>
    </w:p>
    <w:p w14:paraId="154A8158"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De la misma forma el Centro para el Control y la Prevención de Enfermedades - CDC (s.f.) señaló que los riesgos de exposición al humo de tabaco conocidos como de segunda mano conllevan problemas de salud, y preocupa que el humo de marihuana de segunda mano tiene muchas sustancias químicas al igual que el tabaco, que resultan ser cancerígenas. </w:t>
      </w:r>
    </w:p>
    <w:p w14:paraId="154A8159" w14:textId="77777777" w:rsidR="00610266" w:rsidRPr="003836A1" w:rsidRDefault="00610266" w:rsidP="003836A1">
      <w:pPr>
        <w:jc w:val="both"/>
        <w:rPr>
          <w:rFonts w:ascii="Arial" w:eastAsia="Arial" w:hAnsi="Arial" w:cs="Arial"/>
        </w:rPr>
      </w:pPr>
    </w:p>
    <w:p w14:paraId="154A815A"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El humo de marihuana como ya se dijo contiene THC, el cual puede ser transmitido a los bebés y niños y al resto de personas que se expongan a este humo, con lo que pueden tener efectos sicoactivos, con lo que están propensos a tener malas condiciones de salud. </w:t>
      </w:r>
    </w:p>
    <w:p w14:paraId="154A815B" w14:textId="77777777" w:rsidR="00610266" w:rsidRPr="003836A1" w:rsidRDefault="00610266" w:rsidP="003836A1">
      <w:pPr>
        <w:jc w:val="both"/>
        <w:rPr>
          <w:rFonts w:ascii="Arial" w:eastAsia="Arial" w:hAnsi="Arial" w:cs="Arial"/>
        </w:rPr>
      </w:pPr>
    </w:p>
    <w:p w14:paraId="154A815C"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Indica también el CDC que estudios recientes han mostrado asociaciones entre informes de tener un consumidor de marihuana en el hogar y niños con niveles detectables de THC. </w:t>
      </w:r>
    </w:p>
    <w:p w14:paraId="154A815D" w14:textId="77777777" w:rsidR="00610266" w:rsidRPr="003836A1" w:rsidRDefault="00610266" w:rsidP="003836A1">
      <w:pPr>
        <w:jc w:val="both"/>
        <w:rPr>
          <w:rFonts w:ascii="Arial" w:eastAsia="Arial" w:hAnsi="Arial" w:cs="Arial"/>
        </w:rPr>
      </w:pPr>
    </w:p>
    <w:p w14:paraId="154A815E"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Como se evidencia con estos estudios, los efectos de consumir marihuana no solo afectan negativamente al consumidor, sino también a quienes están a su alrededor. </w:t>
      </w:r>
    </w:p>
    <w:p w14:paraId="154A815F" w14:textId="77777777" w:rsidR="00610266" w:rsidRPr="003836A1" w:rsidRDefault="00610266" w:rsidP="003836A1">
      <w:pPr>
        <w:jc w:val="both"/>
        <w:rPr>
          <w:rFonts w:ascii="Arial" w:eastAsia="Arial" w:hAnsi="Arial" w:cs="Arial"/>
        </w:rPr>
      </w:pPr>
    </w:p>
    <w:p w14:paraId="154A8160" w14:textId="77777777" w:rsidR="00610266" w:rsidRPr="004221EC" w:rsidRDefault="00F95AB8" w:rsidP="004221EC">
      <w:pPr>
        <w:pStyle w:val="Prrafodelista"/>
        <w:widowControl/>
        <w:numPr>
          <w:ilvl w:val="1"/>
          <w:numId w:val="17"/>
        </w:numPr>
        <w:pBdr>
          <w:top w:val="nil"/>
          <w:left w:val="nil"/>
          <w:bottom w:val="nil"/>
          <w:right w:val="nil"/>
          <w:between w:val="nil"/>
        </w:pBdr>
        <w:jc w:val="both"/>
        <w:rPr>
          <w:rFonts w:ascii="Arial" w:eastAsia="Arial" w:hAnsi="Arial" w:cs="Arial"/>
          <w:b/>
        </w:rPr>
      </w:pPr>
      <w:r w:rsidRPr="004221EC">
        <w:rPr>
          <w:rFonts w:ascii="Arial" w:eastAsia="Arial" w:hAnsi="Arial" w:cs="Arial"/>
          <w:b/>
        </w:rPr>
        <w:t>Análisis normativo y jurisprudencial del estado actual de la regulación del consumo de sustancias psicoactivas en Colombia.</w:t>
      </w:r>
    </w:p>
    <w:p w14:paraId="154A8161" w14:textId="77777777" w:rsidR="00610266" w:rsidRPr="003836A1" w:rsidRDefault="00610266" w:rsidP="003836A1">
      <w:pPr>
        <w:jc w:val="both"/>
        <w:rPr>
          <w:rFonts w:ascii="Arial" w:eastAsia="Arial" w:hAnsi="Arial" w:cs="Arial"/>
        </w:rPr>
      </w:pPr>
    </w:p>
    <w:p w14:paraId="154A8162" w14:textId="77777777" w:rsidR="00610266" w:rsidRPr="003836A1" w:rsidRDefault="00F95AB8" w:rsidP="003836A1">
      <w:pPr>
        <w:jc w:val="both"/>
        <w:rPr>
          <w:rFonts w:ascii="Arial" w:eastAsia="Arial" w:hAnsi="Arial" w:cs="Arial"/>
        </w:rPr>
      </w:pPr>
      <w:r w:rsidRPr="003836A1">
        <w:rPr>
          <w:rFonts w:ascii="Arial" w:eastAsia="Arial" w:hAnsi="Arial" w:cs="Arial"/>
        </w:rPr>
        <w:t>El tema de las consecuencias, efectos e imposición de sanciones producto del consumo de sustancias psicoactivas en espacios públicos o delimitarlas como comportamientos contrarios al cuidado e integridad del espacio público, la tranquilidad de las personas o de los niños, niñas y adolescentes fueron reguladas en los artículos 140 numerales 7 y 13, artículo 33 numeral 1 literal c), y artículo 38 numeral 6 literal a) del Código Nacional de Seguridad y Convivencia Ciudadana.</w:t>
      </w:r>
    </w:p>
    <w:p w14:paraId="154A8163" w14:textId="77777777" w:rsidR="00610266" w:rsidRPr="003836A1" w:rsidRDefault="00610266" w:rsidP="003836A1">
      <w:pPr>
        <w:jc w:val="both"/>
        <w:rPr>
          <w:rFonts w:ascii="Arial" w:eastAsia="Arial" w:hAnsi="Arial" w:cs="Arial"/>
        </w:rPr>
      </w:pPr>
    </w:p>
    <w:p w14:paraId="154A8164" w14:textId="77777777" w:rsidR="00610266" w:rsidRPr="003836A1" w:rsidRDefault="00F95AB8" w:rsidP="003836A1">
      <w:pPr>
        <w:jc w:val="both"/>
        <w:rPr>
          <w:rFonts w:ascii="Arial" w:eastAsia="Arial" w:hAnsi="Arial" w:cs="Arial"/>
        </w:rPr>
      </w:pPr>
      <w:r w:rsidRPr="003836A1">
        <w:rPr>
          <w:rFonts w:ascii="Arial" w:eastAsia="Arial" w:hAnsi="Arial" w:cs="Arial"/>
        </w:rPr>
        <w:t>En donde se tipificaron como comportamientos objeto de medida correctiva el consumir sustancias psicoactivas en determinados lugares, ejercer actividades en vía pública o en privado, cuando trascienda a lo público, y perturben o afecten la tranquilidad de las personas y por último aquellas que induzcan de mala manera a niños, niñas y adolescentes.</w:t>
      </w:r>
    </w:p>
    <w:p w14:paraId="154A8165" w14:textId="77777777" w:rsidR="00610266" w:rsidRPr="003836A1" w:rsidRDefault="00610266" w:rsidP="003836A1">
      <w:pPr>
        <w:jc w:val="both"/>
        <w:rPr>
          <w:rFonts w:ascii="Arial" w:eastAsia="Arial" w:hAnsi="Arial" w:cs="Arial"/>
        </w:rPr>
      </w:pPr>
    </w:p>
    <w:p w14:paraId="154A8166" w14:textId="77777777" w:rsidR="00610266" w:rsidRPr="003836A1" w:rsidRDefault="00F95AB8" w:rsidP="003836A1">
      <w:pPr>
        <w:jc w:val="both"/>
        <w:rPr>
          <w:rFonts w:ascii="Arial" w:eastAsia="Arial" w:hAnsi="Arial" w:cs="Arial"/>
        </w:rPr>
      </w:pPr>
      <w:r w:rsidRPr="003836A1">
        <w:rPr>
          <w:rFonts w:ascii="Arial" w:eastAsia="Arial" w:hAnsi="Arial" w:cs="Arial"/>
        </w:rPr>
        <w:t>En estas disposiciones normativas se establecía que al incurrir en uno o más comportamientos de los allí señalados se hacía merecedor la persona de una medida correctiva a aplicar.</w:t>
      </w:r>
    </w:p>
    <w:p w14:paraId="154A8167" w14:textId="77777777" w:rsidR="00610266" w:rsidRPr="003836A1" w:rsidRDefault="00610266" w:rsidP="003836A1">
      <w:pPr>
        <w:jc w:val="both"/>
        <w:rPr>
          <w:rFonts w:ascii="Arial" w:eastAsia="Arial" w:hAnsi="Arial" w:cs="Arial"/>
        </w:rPr>
      </w:pPr>
    </w:p>
    <w:p w14:paraId="154A8168" w14:textId="77777777" w:rsidR="00610266" w:rsidRPr="003836A1" w:rsidRDefault="00F95AB8" w:rsidP="003836A1">
      <w:pPr>
        <w:jc w:val="both"/>
        <w:rPr>
          <w:rFonts w:ascii="Arial" w:eastAsia="Arial" w:hAnsi="Arial" w:cs="Arial"/>
        </w:rPr>
      </w:pPr>
      <w:r w:rsidRPr="003836A1">
        <w:rPr>
          <w:rFonts w:ascii="Arial" w:eastAsia="Arial" w:hAnsi="Arial" w:cs="Arial"/>
        </w:rPr>
        <w:t>Algunas de estas disposiciones normativas establecidas en una Ley como la 1801 del 29 de julio de 2016, fueron objeto de una demanda de inconstitucionalidad la cual fue resuelta por la Corte Constitucional mediante sentencia C-253 de 2019, en donde la Sala Plena administrando justicia en nombre del pueblo resolvió:</w:t>
      </w:r>
    </w:p>
    <w:p w14:paraId="154A8169" w14:textId="77777777" w:rsidR="00610266" w:rsidRPr="003836A1" w:rsidRDefault="00610266" w:rsidP="003836A1">
      <w:pPr>
        <w:jc w:val="both"/>
        <w:rPr>
          <w:rFonts w:ascii="Arial" w:eastAsia="Arial" w:hAnsi="Arial" w:cs="Arial"/>
        </w:rPr>
      </w:pPr>
    </w:p>
    <w:p w14:paraId="154A816A" w14:textId="77777777" w:rsidR="00610266" w:rsidRPr="003836A1" w:rsidRDefault="00F95AB8" w:rsidP="003836A1">
      <w:pPr>
        <w:widowControl/>
        <w:shd w:val="clear" w:color="auto" w:fill="FFFFFF"/>
        <w:ind w:left="851" w:right="571"/>
        <w:jc w:val="both"/>
        <w:rPr>
          <w:rFonts w:ascii="Arial" w:eastAsia="Arial" w:hAnsi="Arial" w:cs="Arial"/>
          <w:i/>
        </w:rPr>
      </w:pPr>
      <w:r w:rsidRPr="003836A1">
        <w:rPr>
          <w:rFonts w:ascii="Arial" w:eastAsia="Arial" w:hAnsi="Arial" w:cs="Arial"/>
          <w:i/>
        </w:rPr>
        <w:t>Primero.- Declarar INEXEQUIBLES las expresiones ‘alcohólicas, psicoactivas o’ contenidas en el Artículo 33 (literal c, numeral 2) del Código Nacional de Policía y Convivencia (Ley 1801 de 2016).</w:t>
      </w:r>
    </w:p>
    <w:p w14:paraId="154A816B" w14:textId="77777777" w:rsidR="00610266" w:rsidRPr="003836A1" w:rsidRDefault="00610266" w:rsidP="003836A1">
      <w:pPr>
        <w:widowControl/>
        <w:shd w:val="clear" w:color="auto" w:fill="FFFFFF"/>
        <w:ind w:left="851" w:right="571"/>
        <w:jc w:val="both"/>
        <w:rPr>
          <w:rFonts w:ascii="Arial" w:eastAsia="Arial" w:hAnsi="Arial" w:cs="Arial"/>
          <w:i/>
        </w:rPr>
      </w:pPr>
    </w:p>
    <w:p w14:paraId="154A816C" w14:textId="77777777" w:rsidR="00610266" w:rsidRPr="003836A1" w:rsidRDefault="00F95AB8" w:rsidP="003836A1">
      <w:pPr>
        <w:widowControl/>
        <w:shd w:val="clear" w:color="auto" w:fill="FFFFFF"/>
        <w:ind w:left="851" w:right="571"/>
        <w:jc w:val="both"/>
        <w:rPr>
          <w:rFonts w:ascii="Arial" w:eastAsia="Arial" w:hAnsi="Arial" w:cs="Arial"/>
          <w:i/>
        </w:rPr>
      </w:pPr>
      <w:r w:rsidRPr="003836A1">
        <w:rPr>
          <w:rFonts w:ascii="Arial" w:eastAsia="Arial" w:hAnsi="Arial" w:cs="Arial"/>
          <w:i/>
        </w:rPr>
        <w:t>Segundo.- Declarar INEXEQUIBLES las expresiones ‘bebidas alcohólicas’ y ‘psicoactivas o’ contenidas en el Artículo 140 (numeral 7) del Código Nacional de Policía y Convivencia (Ley 1801 de 2016)</w:t>
      </w:r>
    </w:p>
    <w:p w14:paraId="154A816D" w14:textId="77777777" w:rsidR="00610266" w:rsidRPr="003836A1" w:rsidRDefault="00F95AB8" w:rsidP="003836A1">
      <w:pPr>
        <w:widowControl/>
        <w:shd w:val="clear" w:color="auto" w:fill="FFFFFF"/>
        <w:ind w:right="56"/>
        <w:jc w:val="both"/>
        <w:rPr>
          <w:rFonts w:ascii="Arial" w:eastAsia="Arial" w:hAnsi="Arial" w:cs="Arial"/>
          <w:i/>
        </w:rPr>
      </w:pPr>
      <w:r w:rsidRPr="003836A1">
        <w:rPr>
          <w:rFonts w:ascii="Arial" w:eastAsia="Arial" w:hAnsi="Arial" w:cs="Arial"/>
          <w:i/>
        </w:rPr>
        <w:t> </w:t>
      </w:r>
    </w:p>
    <w:p w14:paraId="154A816E" w14:textId="77777777" w:rsidR="00610266" w:rsidRPr="003836A1" w:rsidRDefault="00F95AB8" w:rsidP="003836A1">
      <w:pPr>
        <w:jc w:val="both"/>
        <w:rPr>
          <w:rFonts w:ascii="Arial" w:eastAsia="Arial" w:hAnsi="Arial" w:cs="Arial"/>
        </w:rPr>
      </w:pPr>
      <w:r w:rsidRPr="003836A1">
        <w:rPr>
          <w:rFonts w:ascii="Arial" w:eastAsia="Arial" w:hAnsi="Arial" w:cs="Arial"/>
        </w:rPr>
        <w:t>Su decisión justificada de la siguiente manera:</w:t>
      </w:r>
    </w:p>
    <w:p w14:paraId="154A816F" w14:textId="77777777" w:rsidR="00610266" w:rsidRPr="003836A1" w:rsidRDefault="00610266" w:rsidP="003836A1">
      <w:pPr>
        <w:jc w:val="both"/>
        <w:rPr>
          <w:rFonts w:ascii="Arial" w:eastAsia="Arial" w:hAnsi="Arial" w:cs="Arial"/>
        </w:rPr>
      </w:pPr>
    </w:p>
    <w:p w14:paraId="154A8170" w14:textId="77777777" w:rsidR="00610266" w:rsidRPr="003836A1" w:rsidRDefault="00F95AB8" w:rsidP="003836A1">
      <w:pPr>
        <w:widowControl/>
        <w:shd w:val="clear" w:color="auto" w:fill="FFFFFF"/>
        <w:ind w:left="851" w:right="571"/>
        <w:jc w:val="both"/>
        <w:rPr>
          <w:rFonts w:ascii="Arial" w:eastAsia="Arial" w:hAnsi="Arial" w:cs="Arial"/>
          <w:i/>
        </w:rPr>
      </w:pPr>
      <w:r w:rsidRPr="003836A1">
        <w:rPr>
          <w:rFonts w:ascii="Arial" w:eastAsia="Arial" w:hAnsi="Arial" w:cs="Arial"/>
          <w:i/>
        </w:rPr>
        <w:t>“(…) El Legislador viola el derecho al libre desarrollo de la personalidad al prohibir de forma amplia y general, so pena de medidas de policía, el consumo de bebidas alcohólicas y sustancias psicoactivas “en espacio público, lugares abiertos al público, o que siendo privados trasciendan a lo público”, como forma de proteger la tranquilidad y las relaciones respetuosas; aunque es un medio que no está prohibido, que busca fines imperiosos, no es necesario en tanto existen otras herramientas de policía aplicables y, en ocasiones, ni siquiera es un medio idóneo para alcanzar tales fines.</w:t>
      </w:r>
    </w:p>
    <w:p w14:paraId="154A8171" w14:textId="77777777" w:rsidR="00610266" w:rsidRPr="003836A1" w:rsidRDefault="00F95AB8" w:rsidP="003836A1">
      <w:pPr>
        <w:widowControl/>
        <w:shd w:val="clear" w:color="auto" w:fill="FFFFFF"/>
        <w:ind w:left="851" w:right="571"/>
        <w:jc w:val="both"/>
        <w:rPr>
          <w:rFonts w:ascii="Arial" w:eastAsia="Arial" w:hAnsi="Arial" w:cs="Arial"/>
          <w:i/>
        </w:rPr>
      </w:pPr>
      <w:r w:rsidRPr="003836A1">
        <w:rPr>
          <w:rFonts w:ascii="Arial" w:eastAsia="Arial" w:hAnsi="Arial" w:cs="Arial"/>
          <w:i/>
        </w:rPr>
        <w:t> </w:t>
      </w:r>
    </w:p>
    <w:p w14:paraId="154A8172" w14:textId="77777777" w:rsidR="00610266" w:rsidRPr="003836A1" w:rsidRDefault="00F95AB8" w:rsidP="003836A1">
      <w:pPr>
        <w:widowControl/>
        <w:shd w:val="clear" w:color="auto" w:fill="FFFFFF"/>
        <w:ind w:left="851" w:right="571"/>
        <w:jc w:val="both"/>
        <w:rPr>
          <w:rFonts w:ascii="Arial" w:eastAsia="Arial" w:hAnsi="Arial" w:cs="Arial"/>
          <w:i/>
        </w:rPr>
      </w:pPr>
      <w:r w:rsidRPr="003836A1">
        <w:rPr>
          <w:rFonts w:ascii="Arial" w:eastAsia="Arial" w:hAnsi="Arial" w:cs="Arial"/>
          <w:i/>
        </w:rPr>
        <w:t>El Legislador viola el derecho al libre desarrollo de la personalidad al prohibir de forma amplia y general, so pena de medidas de policía, el consumo de bebidas alcohólicas y sustancias psicoactivas “en parques [y en] el espacio público” en general, como forma de proteger el cuidado y la integridad de dicho espacio; aunque es un medio que no está prohibido, que busca fines imperiosos, no es necesario, ni siquiera es adecuado para lograr el propósito buscado. (…)”</w:t>
      </w:r>
    </w:p>
    <w:p w14:paraId="154A8173" w14:textId="77777777" w:rsidR="00610266" w:rsidRPr="003836A1" w:rsidRDefault="00610266" w:rsidP="003836A1">
      <w:pPr>
        <w:jc w:val="both"/>
        <w:rPr>
          <w:rFonts w:ascii="Arial" w:eastAsia="Arial" w:hAnsi="Arial" w:cs="Arial"/>
          <w:i/>
        </w:rPr>
      </w:pPr>
    </w:p>
    <w:p w14:paraId="154A8174" w14:textId="77777777" w:rsidR="00610266" w:rsidRPr="003836A1" w:rsidRDefault="00F95AB8" w:rsidP="003836A1">
      <w:pPr>
        <w:jc w:val="both"/>
        <w:rPr>
          <w:rFonts w:ascii="Arial" w:eastAsia="Arial" w:hAnsi="Arial" w:cs="Arial"/>
        </w:rPr>
      </w:pPr>
      <w:r w:rsidRPr="003836A1">
        <w:rPr>
          <w:rFonts w:ascii="Arial" w:eastAsia="Arial" w:hAnsi="Arial" w:cs="Arial"/>
        </w:rPr>
        <w:t>Lo anterior sin dejar de lado un estudio del concepto de la dosis personal amparada constitucionalmente por el libre desarrollo de la personalidad y haciendo un recuento desde la Sentencia C-221 de 1994, la cual se limita para Colombia a 20 gramos de marihuana, cinco de hachís, dos de metacualona y un gramo de cocaína o sus derivados.</w:t>
      </w:r>
    </w:p>
    <w:p w14:paraId="154A8175" w14:textId="77777777" w:rsidR="00610266" w:rsidRPr="003836A1" w:rsidRDefault="00610266" w:rsidP="003836A1">
      <w:pPr>
        <w:jc w:val="both"/>
        <w:rPr>
          <w:rFonts w:ascii="Arial" w:eastAsia="Arial" w:hAnsi="Arial" w:cs="Arial"/>
        </w:rPr>
      </w:pPr>
    </w:p>
    <w:p w14:paraId="154A8176" w14:textId="77777777" w:rsidR="00610266" w:rsidRPr="003836A1" w:rsidRDefault="00F95AB8" w:rsidP="003836A1">
      <w:pPr>
        <w:jc w:val="both"/>
        <w:rPr>
          <w:rFonts w:ascii="Arial" w:eastAsia="Arial" w:hAnsi="Arial" w:cs="Arial"/>
        </w:rPr>
      </w:pPr>
      <w:r w:rsidRPr="003836A1">
        <w:rPr>
          <w:rFonts w:ascii="Arial" w:eastAsia="Arial" w:hAnsi="Arial" w:cs="Arial"/>
        </w:rPr>
        <w:t>En ese escenario jurídico producto de la expedición de la sentencia en cuestión, y al haberse retirado los conceptos de bebidas alcohólicas y psicoactivas de los comportamientos anteriormente descritos, la policía nacional en ejercicio de sus facultades constitucionales y legales se encontró de cierta manera maniatada para imponer medidas correctivas sobre ciertos comportamientos, al encontrarse en una dicotomía entre la interpretación legal, la constitucional y los principios y derechos como el del libre desarrollo de la personalidad.</w:t>
      </w:r>
    </w:p>
    <w:p w14:paraId="154A8177" w14:textId="77777777" w:rsidR="00610266" w:rsidRPr="003836A1" w:rsidRDefault="00610266" w:rsidP="003836A1">
      <w:pPr>
        <w:jc w:val="both"/>
        <w:rPr>
          <w:rFonts w:ascii="Arial" w:eastAsia="Arial" w:hAnsi="Arial" w:cs="Arial"/>
        </w:rPr>
      </w:pPr>
    </w:p>
    <w:p w14:paraId="154A8178" w14:textId="77777777" w:rsidR="00610266" w:rsidRPr="003836A1" w:rsidRDefault="00F95AB8" w:rsidP="003836A1">
      <w:pPr>
        <w:jc w:val="both"/>
        <w:rPr>
          <w:rFonts w:ascii="Arial" w:eastAsia="Arial" w:hAnsi="Arial" w:cs="Arial"/>
          <w:i/>
        </w:rPr>
      </w:pPr>
      <w:r w:rsidRPr="003836A1">
        <w:rPr>
          <w:rFonts w:ascii="Arial" w:eastAsia="Arial" w:hAnsi="Arial" w:cs="Arial"/>
        </w:rPr>
        <w:t xml:space="preserve">Es entonces como en el año 2018 el presidente Iván Duque expidió el Decreto 1844 </w:t>
      </w:r>
      <w:r w:rsidRPr="003836A1">
        <w:rPr>
          <w:rFonts w:ascii="Arial" w:eastAsia="Arial" w:hAnsi="Arial" w:cs="Arial"/>
          <w:i/>
        </w:rPr>
        <w:t>“Por medio del cual se adiciona el capítulo 9 del título 8 de la parte 2 del libro 2 del Decreto 1070 de 2015, "Decreto Único Reglamentario del Sector Administrativo de Defensa", para reglamentar parcialmente el Código Nacional de Policía y Convivencia, en lo referente a la prohibición de poseer, tener, entregar, distribuir o comercializar drogas o sustancias prohibidas.”</w:t>
      </w:r>
    </w:p>
    <w:p w14:paraId="154A8179" w14:textId="77777777" w:rsidR="00610266" w:rsidRPr="003836A1" w:rsidRDefault="00610266" w:rsidP="003836A1">
      <w:pPr>
        <w:jc w:val="both"/>
        <w:rPr>
          <w:rFonts w:ascii="Arial" w:eastAsia="Arial" w:hAnsi="Arial" w:cs="Arial"/>
          <w:i/>
        </w:rPr>
      </w:pPr>
    </w:p>
    <w:p w14:paraId="154A817A" w14:textId="77777777" w:rsidR="00610266" w:rsidRPr="003836A1" w:rsidRDefault="00F95AB8" w:rsidP="003836A1">
      <w:pPr>
        <w:jc w:val="both"/>
        <w:rPr>
          <w:rFonts w:ascii="Arial" w:eastAsia="Arial" w:hAnsi="Arial" w:cs="Arial"/>
        </w:rPr>
      </w:pPr>
      <w:r w:rsidRPr="003836A1">
        <w:rPr>
          <w:rFonts w:ascii="Arial" w:eastAsia="Arial" w:hAnsi="Arial" w:cs="Arial"/>
        </w:rPr>
        <w:t>Dicho Decreto tenía como particularidad que reglamentaba el porte y tenencia de sustancias estupefacientes o sicotrópicas, delimitando el procedimiento y causas de la verificación, lo relacionado con los descargos, y las consecuencias y protocolos aplicables a la incautación y de la medida correctiva de destrucción del bien. Todo lo anterior con el propósito de imponer medidas de naturaleza administrativa orientadas a propiciar en la comunidad comportamientos que favorezcan la convivencia en el espacio público, áreas comunes, lugares abiertos al público o que siendo privados trasciendan a lo público.</w:t>
      </w:r>
    </w:p>
    <w:p w14:paraId="154A817B" w14:textId="77777777" w:rsidR="00610266" w:rsidRPr="003836A1" w:rsidRDefault="00610266" w:rsidP="003836A1">
      <w:pPr>
        <w:jc w:val="both"/>
        <w:rPr>
          <w:rFonts w:ascii="Arial" w:eastAsia="Arial" w:hAnsi="Arial" w:cs="Arial"/>
        </w:rPr>
      </w:pPr>
    </w:p>
    <w:p w14:paraId="154A817C" w14:textId="77777777" w:rsidR="00610266" w:rsidRPr="003836A1" w:rsidRDefault="00F95AB8" w:rsidP="003836A1">
      <w:pPr>
        <w:jc w:val="both"/>
        <w:rPr>
          <w:rFonts w:ascii="Arial" w:eastAsia="Arial" w:hAnsi="Arial" w:cs="Arial"/>
        </w:rPr>
      </w:pPr>
      <w:r w:rsidRPr="003836A1">
        <w:rPr>
          <w:rFonts w:ascii="Arial" w:eastAsia="Arial" w:hAnsi="Arial" w:cs="Arial"/>
        </w:rPr>
        <w:t>En otras palabras, este Decreto derogado permitía a la Policía N</w:t>
      </w:r>
      <w:r w:rsidR="00E8613F">
        <w:rPr>
          <w:rFonts w:ascii="Arial" w:eastAsia="Arial" w:hAnsi="Arial" w:cs="Arial"/>
        </w:rPr>
        <w:t>acional incautar la dosis mínima</w:t>
      </w:r>
      <w:r w:rsidRPr="003836A1">
        <w:rPr>
          <w:rFonts w:ascii="Arial" w:eastAsia="Arial" w:hAnsi="Arial" w:cs="Arial"/>
        </w:rPr>
        <w:t>, y perseguir a quienes la portaban, bajo el argumento de que no era para uso personal que es una de las técnicas usadas por las personas que se dedican al microtráfico. Era entonces una herramienta que permitía de cierta manera controlar a los portadores de sustancias psicoactivas e imponerles una multa, fijando un procedimiento para imponer medidas correctivas, por infracciones derivadas del porte y tenencia de las cantidades de sustancias psicoactivas (estupefacientes o psicotrópicas que las normas vigentes determinan como dosis personal).</w:t>
      </w:r>
    </w:p>
    <w:p w14:paraId="154A817D" w14:textId="77777777" w:rsidR="00610266" w:rsidRPr="003836A1" w:rsidRDefault="00610266" w:rsidP="003836A1">
      <w:pPr>
        <w:jc w:val="both"/>
        <w:rPr>
          <w:rFonts w:ascii="Arial" w:eastAsia="Arial" w:hAnsi="Arial" w:cs="Arial"/>
        </w:rPr>
      </w:pPr>
    </w:p>
    <w:p w14:paraId="154A817E" w14:textId="77777777" w:rsidR="00610266" w:rsidRPr="003836A1" w:rsidRDefault="00F95AB8" w:rsidP="003836A1">
      <w:pPr>
        <w:jc w:val="both"/>
        <w:rPr>
          <w:rFonts w:ascii="Arial" w:eastAsia="Arial" w:hAnsi="Arial" w:cs="Arial"/>
          <w:i/>
        </w:rPr>
      </w:pPr>
      <w:r w:rsidRPr="003836A1">
        <w:rPr>
          <w:rFonts w:ascii="Arial" w:eastAsia="Arial" w:hAnsi="Arial" w:cs="Arial"/>
        </w:rPr>
        <w:t xml:space="preserve">En palabras del mismo ex presidente Duque en su cuenta de X mediante un trino del 9 de diciembre de 2023 el Decreto </w:t>
      </w:r>
      <w:r w:rsidRPr="003836A1">
        <w:rPr>
          <w:rFonts w:ascii="Arial" w:eastAsia="Arial" w:hAnsi="Arial" w:cs="Arial"/>
          <w:i/>
        </w:rPr>
        <w:t>“(…) buscaba decomisar drogas en las calles, no criminalizar consumidores. Era una medida contra los jíbaros para garantizar entornos seguros. Con las nuevas deposiciones, les llegó su diciembre a los delincuentes. Otra medida en favor del crimen y el detrimento de los niños, niñas, la juventud y las familias colombianas”.</w:t>
      </w:r>
    </w:p>
    <w:p w14:paraId="154A817F" w14:textId="77777777" w:rsidR="00610266" w:rsidRPr="003836A1" w:rsidRDefault="00610266" w:rsidP="003836A1">
      <w:pPr>
        <w:jc w:val="both"/>
        <w:rPr>
          <w:rFonts w:ascii="Arial" w:eastAsia="Arial" w:hAnsi="Arial" w:cs="Arial"/>
        </w:rPr>
      </w:pPr>
    </w:p>
    <w:p w14:paraId="154A8180" w14:textId="77777777" w:rsidR="00610266" w:rsidRPr="003836A1" w:rsidRDefault="00F95AB8" w:rsidP="003836A1">
      <w:pPr>
        <w:jc w:val="both"/>
        <w:rPr>
          <w:rFonts w:ascii="Arial" w:eastAsia="Arial" w:hAnsi="Arial" w:cs="Arial"/>
          <w:i/>
        </w:rPr>
      </w:pPr>
      <w:r w:rsidRPr="003836A1">
        <w:rPr>
          <w:rFonts w:ascii="Arial" w:eastAsia="Arial" w:hAnsi="Arial" w:cs="Arial"/>
        </w:rPr>
        <w:t xml:space="preserve">El problema dentro del contexto actual es que, el día 7 de diciembre de 2023 el presidente Gustavo Petro expidió el Decreto 2114 de 2023 </w:t>
      </w:r>
      <w:r w:rsidRPr="003836A1">
        <w:rPr>
          <w:rFonts w:ascii="Arial" w:eastAsia="Arial" w:hAnsi="Arial" w:cs="Arial"/>
          <w:i/>
        </w:rPr>
        <w:t>“Por el cual se deroga el capítulo </w:t>
      </w:r>
      <w:hyperlink r:id="rId99" w:anchor="2.2.3.9.1.c9">
        <w:r w:rsidRPr="003836A1">
          <w:rPr>
            <w:rFonts w:ascii="Arial" w:eastAsia="Arial" w:hAnsi="Arial" w:cs="Arial"/>
            <w:i/>
          </w:rPr>
          <w:t>9 </w:t>
        </w:r>
      </w:hyperlink>
      <w:r w:rsidRPr="003836A1">
        <w:rPr>
          <w:rFonts w:ascii="Arial" w:eastAsia="Arial" w:hAnsi="Arial" w:cs="Arial"/>
          <w:i/>
        </w:rPr>
        <w:t>del título 8 de la parte 2 del libro 2 del Decreto 1070 de 2015, Único Reglamentario del Sector Administrativo de Defensa, adicionado por el Decreto </w:t>
      </w:r>
      <w:hyperlink r:id="rId100" w:anchor="1844">
        <w:r w:rsidRPr="003836A1">
          <w:rPr>
            <w:rFonts w:ascii="Arial" w:eastAsia="Arial" w:hAnsi="Arial" w:cs="Arial"/>
            <w:i/>
          </w:rPr>
          <w:t>1844</w:t>
        </w:r>
      </w:hyperlink>
      <w:r w:rsidRPr="003836A1">
        <w:rPr>
          <w:rFonts w:ascii="Arial" w:eastAsia="Arial" w:hAnsi="Arial" w:cs="Arial"/>
          <w:i/>
        </w:rPr>
        <w:t> de 2018”.</w:t>
      </w:r>
    </w:p>
    <w:p w14:paraId="154A8181" w14:textId="77777777" w:rsidR="00610266" w:rsidRPr="003836A1" w:rsidRDefault="00610266" w:rsidP="003836A1">
      <w:pPr>
        <w:jc w:val="both"/>
        <w:rPr>
          <w:rFonts w:ascii="Arial" w:eastAsia="Arial" w:hAnsi="Arial" w:cs="Arial"/>
          <w:i/>
        </w:rPr>
      </w:pPr>
    </w:p>
    <w:p w14:paraId="154A8182" w14:textId="77777777" w:rsidR="00610266" w:rsidRPr="003836A1" w:rsidRDefault="00F95AB8" w:rsidP="003836A1">
      <w:pPr>
        <w:jc w:val="both"/>
        <w:rPr>
          <w:rFonts w:ascii="Arial" w:eastAsia="Arial" w:hAnsi="Arial" w:cs="Arial"/>
        </w:rPr>
      </w:pPr>
      <w:r w:rsidRPr="003836A1">
        <w:rPr>
          <w:rFonts w:ascii="Arial" w:eastAsia="Arial" w:hAnsi="Arial" w:cs="Arial"/>
        </w:rPr>
        <w:t>Dicho Decreto derogó entonces el expedido por el ex presidente Duque, entre otras razones fundamentado en que para la Corte Constitucional la prohibición del artículo 49 de la Constitución no ampara la penalización del porte y consumo de estupefacientes en dosis mínima, que respecto de la dosis personal esta no incluye la penalización del porte o conservación de dosis, exclusivamente destinada al consumo personal, de sustancias estupefacientes, sicotrópicas o drogas sintéticas. Y por último que</w:t>
      </w:r>
      <w:r w:rsidR="00E8613F">
        <w:rPr>
          <w:rFonts w:ascii="Arial" w:eastAsia="Arial" w:hAnsi="Arial" w:cs="Arial"/>
        </w:rPr>
        <w:t xml:space="preserve"> se debía dar cumplimiento a lo</w:t>
      </w:r>
      <w:r w:rsidRPr="003836A1">
        <w:rPr>
          <w:rFonts w:ascii="Arial" w:eastAsia="Arial" w:hAnsi="Arial" w:cs="Arial"/>
        </w:rPr>
        <w:t xml:space="preserve"> dispuesto por la sentencia C-253 de 2019.</w:t>
      </w:r>
    </w:p>
    <w:p w14:paraId="154A8183" w14:textId="77777777" w:rsidR="00610266" w:rsidRPr="003836A1" w:rsidRDefault="00610266" w:rsidP="003836A1">
      <w:pPr>
        <w:jc w:val="both"/>
        <w:rPr>
          <w:rFonts w:ascii="Arial" w:eastAsia="Arial" w:hAnsi="Arial" w:cs="Arial"/>
        </w:rPr>
      </w:pPr>
    </w:p>
    <w:p w14:paraId="154A8184" w14:textId="77777777" w:rsidR="00610266" w:rsidRPr="003836A1" w:rsidRDefault="00F95AB8" w:rsidP="003836A1">
      <w:pPr>
        <w:jc w:val="both"/>
        <w:rPr>
          <w:rFonts w:ascii="Arial" w:eastAsia="Arial" w:hAnsi="Arial" w:cs="Arial"/>
        </w:rPr>
      </w:pPr>
      <w:r w:rsidRPr="003836A1">
        <w:rPr>
          <w:rFonts w:ascii="Arial" w:eastAsia="Arial" w:hAnsi="Arial" w:cs="Arial"/>
        </w:rPr>
        <w:t>Dentro de los considerandos de dicho Decreto se dice:</w:t>
      </w:r>
    </w:p>
    <w:p w14:paraId="154A8185" w14:textId="77777777" w:rsidR="00610266" w:rsidRPr="003836A1" w:rsidRDefault="00610266" w:rsidP="003836A1">
      <w:pPr>
        <w:jc w:val="both"/>
        <w:rPr>
          <w:rFonts w:ascii="Arial" w:eastAsia="Arial" w:hAnsi="Arial" w:cs="Arial"/>
        </w:rPr>
      </w:pPr>
    </w:p>
    <w:p w14:paraId="154A8186" w14:textId="77777777" w:rsidR="00610266" w:rsidRPr="003836A1" w:rsidRDefault="00F95AB8" w:rsidP="003836A1">
      <w:pPr>
        <w:ind w:left="851" w:right="571"/>
        <w:jc w:val="both"/>
        <w:rPr>
          <w:rFonts w:ascii="Arial" w:eastAsia="Arial" w:hAnsi="Arial" w:cs="Arial"/>
          <w:i/>
        </w:rPr>
      </w:pPr>
      <w:r w:rsidRPr="003836A1">
        <w:rPr>
          <w:rFonts w:ascii="Arial" w:eastAsia="Arial" w:hAnsi="Arial" w:cs="Arial"/>
          <w:i/>
          <w:highlight w:val="white"/>
        </w:rPr>
        <w:t>“(…) Que el artículo 193 de la Ley 2294 de 2023, "por el cual se expide el Plan Nacional de Desarrollo 2022 ¿ 2026 Colombia Potencia Mundial de la Vida</w:t>
      </w:r>
      <w:r w:rsidRPr="003836A1">
        <w:rPr>
          <w:rFonts w:ascii="Arial" w:eastAsia="Arial" w:hAnsi="Arial" w:cs="Arial"/>
          <w:highlight w:val="white"/>
        </w:rPr>
        <w:t>”,</w:t>
      </w:r>
      <w:r w:rsidRPr="003836A1">
        <w:rPr>
          <w:rFonts w:ascii="Arial" w:eastAsia="Arial" w:hAnsi="Arial" w:cs="Arial"/>
          <w:i/>
          <w:highlight w:val="white"/>
        </w:rPr>
        <w:t xml:space="preserve"> estableció la Política Nacional de Drogas, que apunta hacia un nuevo paradigma contra las drogas, centrado en el cuidado de la vida, con énfasis en la transformación territorial y protección ambiental y salud pública, la prevención del consumo y reducción de riesgos y daños, la generación de una regulación justa, responsable, la seguridad humana y paz total, así como el liderazgo internacional, la justicia social y la transformación cultural</w:t>
      </w:r>
    </w:p>
    <w:p w14:paraId="154A8187" w14:textId="77777777" w:rsidR="00610266" w:rsidRPr="003836A1" w:rsidRDefault="00F95AB8" w:rsidP="003836A1">
      <w:pPr>
        <w:widowControl/>
        <w:pBdr>
          <w:top w:val="nil"/>
          <w:left w:val="nil"/>
          <w:bottom w:val="nil"/>
          <w:right w:val="nil"/>
          <w:between w:val="nil"/>
        </w:pBdr>
        <w:shd w:val="clear" w:color="auto" w:fill="FFFFFF"/>
        <w:ind w:left="851" w:right="571"/>
        <w:jc w:val="both"/>
        <w:rPr>
          <w:rFonts w:ascii="Arial" w:eastAsia="Arial" w:hAnsi="Arial" w:cs="Arial"/>
          <w:i/>
        </w:rPr>
      </w:pPr>
      <w:r w:rsidRPr="003836A1">
        <w:rPr>
          <w:rFonts w:ascii="Arial" w:eastAsia="Arial" w:hAnsi="Arial" w:cs="Arial"/>
          <w:i/>
        </w:rPr>
        <w:t>Que la decisión de derogar el procedimiento que las autoridades de policía deben adoptar ante la ocurrencia de una infracción a la prohibición de tenencia o porte de sustancias psicoactivas ilícitas, incluido en el Decreto 1844 de 2018, que adicionó el Capítulo 9 del Título 8 de la Parte 2 del Libro 2 del Decreto 1070 de 2015, se fundamenta en la armonización de la prevalencia de las obligaciones del Estado, en el cumplimiento de las convenciones internacionales en materia de drogas y de los derechos fundamentales y de los derechos humanos, consagrados en el bloque de constitucionalidad y desarrollados jurisprudencialmente.</w:t>
      </w:r>
    </w:p>
    <w:p w14:paraId="154A8188" w14:textId="77777777" w:rsidR="00610266" w:rsidRPr="003836A1" w:rsidRDefault="00F95AB8" w:rsidP="003836A1">
      <w:pPr>
        <w:widowControl/>
        <w:pBdr>
          <w:top w:val="nil"/>
          <w:left w:val="nil"/>
          <w:bottom w:val="nil"/>
          <w:right w:val="nil"/>
          <w:between w:val="nil"/>
        </w:pBdr>
        <w:shd w:val="clear" w:color="auto" w:fill="FFFFFF"/>
        <w:ind w:left="851" w:right="571"/>
        <w:jc w:val="both"/>
        <w:rPr>
          <w:rFonts w:ascii="Arial" w:eastAsia="Arial" w:hAnsi="Arial" w:cs="Arial"/>
          <w:i/>
        </w:rPr>
      </w:pPr>
      <w:r w:rsidRPr="003836A1">
        <w:rPr>
          <w:rFonts w:ascii="Arial" w:eastAsia="Arial" w:hAnsi="Arial" w:cs="Arial"/>
          <w:i/>
        </w:rPr>
        <w:t>Que, en ese panorama, es necesario no sólo asegurar evitar la criminalización de personas consumidoras de drogas a través de medidas correctivas, sino que también es necesario orientar el esfuerzo y la capacidad institucional, para contrarrestar y atacar la oferta de sustancias psicoactivas (estupefacientes o psicotrópicas) así como las estructuras de crimen organizado dedicadas al microtráfico y narcotráfico, como un fenómeno transnacional.”</w:t>
      </w:r>
    </w:p>
    <w:p w14:paraId="154A8189" w14:textId="77777777" w:rsidR="00610266" w:rsidRPr="003836A1" w:rsidRDefault="00610266" w:rsidP="003836A1">
      <w:pPr>
        <w:widowControl/>
        <w:pBdr>
          <w:top w:val="nil"/>
          <w:left w:val="nil"/>
          <w:bottom w:val="nil"/>
          <w:right w:val="nil"/>
          <w:between w:val="nil"/>
        </w:pBdr>
        <w:shd w:val="clear" w:color="auto" w:fill="FFFFFF"/>
        <w:jc w:val="both"/>
        <w:rPr>
          <w:rFonts w:ascii="Arial" w:eastAsia="Arial" w:hAnsi="Arial" w:cs="Arial"/>
        </w:rPr>
      </w:pPr>
    </w:p>
    <w:p w14:paraId="154A818A" w14:textId="77777777" w:rsidR="00610266" w:rsidRDefault="00F95AB8" w:rsidP="003836A1">
      <w:pPr>
        <w:widowControl/>
        <w:pBdr>
          <w:top w:val="nil"/>
          <w:left w:val="nil"/>
          <w:bottom w:val="nil"/>
          <w:right w:val="nil"/>
          <w:between w:val="nil"/>
        </w:pBdr>
        <w:shd w:val="clear" w:color="auto" w:fill="FFFFFF"/>
        <w:jc w:val="both"/>
        <w:rPr>
          <w:rFonts w:ascii="Arial" w:eastAsia="Arial" w:hAnsi="Arial" w:cs="Arial"/>
        </w:rPr>
      </w:pPr>
      <w:r w:rsidRPr="003836A1">
        <w:rPr>
          <w:rFonts w:ascii="Arial" w:eastAsia="Arial" w:hAnsi="Arial" w:cs="Arial"/>
        </w:rPr>
        <w:t xml:space="preserve">Este nuevo escenario que vive el país, y en especial la ciudad de Bogotá reabre una fuerte discusión que se dio al momento sobre la importancia de no declarar inexequibles las normas demandadas. Al respecto podemos traer a colación algunas posiciones de diversos actores dentro del desarrollo de la Sentencia C-253-2019: </w:t>
      </w:r>
    </w:p>
    <w:p w14:paraId="154A818B" w14:textId="77777777" w:rsidR="00E8613F" w:rsidRPr="003836A1" w:rsidRDefault="00E8613F" w:rsidP="003836A1">
      <w:pPr>
        <w:widowControl/>
        <w:pBdr>
          <w:top w:val="nil"/>
          <w:left w:val="nil"/>
          <w:bottom w:val="nil"/>
          <w:right w:val="nil"/>
          <w:between w:val="nil"/>
        </w:pBdr>
        <w:shd w:val="clear" w:color="auto" w:fill="FFFFFF"/>
        <w:jc w:val="both"/>
        <w:rPr>
          <w:rFonts w:ascii="Arial" w:eastAsia="Arial" w:hAnsi="Arial" w:cs="Arial"/>
        </w:rPr>
      </w:pPr>
    </w:p>
    <w:p w14:paraId="154A818C" w14:textId="77777777" w:rsidR="00610266" w:rsidRPr="003836A1" w:rsidRDefault="00F95AB8" w:rsidP="003836A1">
      <w:pPr>
        <w:shd w:val="clear" w:color="auto" w:fill="FFFFFF"/>
        <w:jc w:val="both"/>
        <w:rPr>
          <w:rFonts w:ascii="Arial" w:eastAsia="Arial" w:hAnsi="Arial" w:cs="Arial"/>
          <w:i/>
        </w:rPr>
      </w:pPr>
      <w:r w:rsidRPr="003836A1">
        <w:rPr>
          <w:rFonts w:ascii="Arial" w:eastAsia="Arial" w:hAnsi="Arial" w:cs="Arial"/>
          <w:i/>
          <w:highlight w:val="white"/>
        </w:rPr>
        <w:t xml:space="preserve">“(…) </w:t>
      </w:r>
      <w:r w:rsidRPr="003836A1">
        <w:rPr>
          <w:rFonts w:ascii="Arial" w:eastAsia="Arial" w:hAnsi="Arial" w:cs="Arial"/>
          <w:i/>
        </w:rPr>
        <w:t>La Alcaldía Mayor de Bogotá, a través de la Directora Distrital de Defensa Judicial y Prevención del Daño antijurídico de la Secretaría Jurídica Distrital, Luz Elena Rodríguez Quimbayo, participó en el proceso para defender la constitucionalidad de las normas acusadas. A su parecer,</w:t>
      </w:r>
    </w:p>
    <w:p w14:paraId="154A818D" w14:textId="77777777" w:rsidR="00610266" w:rsidRPr="003836A1" w:rsidRDefault="00F95AB8" w:rsidP="003836A1">
      <w:pPr>
        <w:widowControl/>
        <w:shd w:val="clear" w:color="auto" w:fill="FFFFFF"/>
        <w:jc w:val="both"/>
        <w:rPr>
          <w:rFonts w:ascii="Arial" w:eastAsia="Arial" w:hAnsi="Arial" w:cs="Arial"/>
          <w:i/>
        </w:rPr>
      </w:pPr>
      <w:r w:rsidRPr="003836A1">
        <w:rPr>
          <w:rFonts w:ascii="Arial" w:eastAsia="Arial" w:hAnsi="Arial" w:cs="Arial"/>
          <w:i/>
        </w:rPr>
        <w:t> </w:t>
      </w:r>
    </w:p>
    <w:p w14:paraId="154A818E" w14:textId="77777777" w:rsidR="00610266" w:rsidRPr="003836A1" w:rsidRDefault="00F95AB8" w:rsidP="003836A1">
      <w:pPr>
        <w:widowControl/>
        <w:shd w:val="clear" w:color="auto" w:fill="FFFFFF"/>
        <w:ind w:left="851" w:right="618"/>
        <w:jc w:val="both"/>
        <w:rPr>
          <w:rFonts w:ascii="Arial" w:eastAsia="Arial" w:hAnsi="Arial" w:cs="Arial"/>
          <w:i/>
        </w:rPr>
      </w:pPr>
      <w:r w:rsidRPr="003836A1">
        <w:rPr>
          <w:rFonts w:ascii="Arial" w:eastAsia="Arial" w:hAnsi="Arial" w:cs="Arial"/>
          <w:i/>
        </w:rPr>
        <w:t>“El numeral 7 del artículo 140 de la Ley 1801 de 2016, debe ser declarado exequible debido a que busca una finalidad constitucional inaplazable y de vital importancia como la garantía de la integridad del espacio público y la medida, con enfoque preventivo y sancionatorio, conduce a la consecución del fin constitucional.  La medida contenida en la norma en estudio, es necesaria para conseguir el fin y no se vislumbran mecanismos preventivos y sancionatorios menos gravosos para obtener el mismo resultado y por tanto, la limitación a que el consumo de sustancias psicoactivas y bebidas alcohólicas, no trascienda al espacio público, es justificada. Lo anterior garantiza la protección del fin constitucional y no desconoce el núcleo fundamental de la libertad de expresión, el libre desarrollo de la personalidad y la autonomía.”</w:t>
      </w:r>
    </w:p>
    <w:p w14:paraId="154A818F" w14:textId="77777777" w:rsidR="00610266" w:rsidRPr="003836A1" w:rsidRDefault="00F95AB8" w:rsidP="003836A1">
      <w:pPr>
        <w:widowControl/>
        <w:shd w:val="clear" w:color="auto" w:fill="FFFFFF"/>
        <w:jc w:val="both"/>
        <w:rPr>
          <w:rFonts w:ascii="Arial" w:eastAsia="Arial" w:hAnsi="Arial" w:cs="Arial"/>
          <w:i/>
        </w:rPr>
      </w:pPr>
      <w:r w:rsidRPr="003836A1">
        <w:rPr>
          <w:rFonts w:ascii="Arial" w:eastAsia="Arial" w:hAnsi="Arial" w:cs="Arial"/>
          <w:i/>
        </w:rPr>
        <w:t> </w:t>
      </w:r>
    </w:p>
    <w:p w14:paraId="154A8190" w14:textId="77777777" w:rsidR="00610266" w:rsidRPr="003836A1" w:rsidRDefault="00F95AB8" w:rsidP="003836A1">
      <w:pPr>
        <w:widowControl/>
        <w:shd w:val="clear" w:color="auto" w:fill="FFFFFF"/>
        <w:ind w:left="851" w:right="571"/>
        <w:jc w:val="both"/>
        <w:rPr>
          <w:rFonts w:ascii="Arial" w:eastAsia="Arial" w:hAnsi="Arial" w:cs="Arial"/>
          <w:i/>
        </w:rPr>
      </w:pPr>
      <w:r w:rsidRPr="003836A1">
        <w:rPr>
          <w:rFonts w:ascii="Arial" w:eastAsia="Arial" w:hAnsi="Arial" w:cs="Arial"/>
          <w:i/>
        </w:rPr>
        <w:t>La intervención de la Alcaldía defiende la razonabilidad de la norma acusada en tanto la considera legítima, idónea, necesaria y proporcionada.”</w:t>
      </w:r>
    </w:p>
    <w:p w14:paraId="154A8191" w14:textId="77777777" w:rsidR="00610266" w:rsidRPr="003836A1" w:rsidRDefault="00610266" w:rsidP="003836A1">
      <w:pPr>
        <w:pStyle w:val="Ttulo2"/>
        <w:tabs>
          <w:tab w:val="left" w:pos="404"/>
        </w:tabs>
        <w:ind w:left="0"/>
        <w:jc w:val="both"/>
        <w:rPr>
          <w:i/>
        </w:rPr>
      </w:pPr>
    </w:p>
    <w:p w14:paraId="154A8192" w14:textId="77777777" w:rsidR="00610266" w:rsidRPr="003836A1" w:rsidRDefault="00F95AB8" w:rsidP="003836A1">
      <w:pPr>
        <w:widowControl/>
        <w:shd w:val="clear" w:color="auto" w:fill="FFFFFF"/>
        <w:jc w:val="both"/>
        <w:rPr>
          <w:rFonts w:ascii="Arial" w:eastAsia="Arial" w:hAnsi="Arial" w:cs="Arial"/>
          <w:i/>
        </w:rPr>
      </w:pPr>
      <w:r w:rsidRPr="003836A1">
        <w:rPr>
          <w:rFonts w:ascii="Arial" w:eastAsia="Arial" w:hAnsi="Arial" w:cs="Arial"/>
          <w:i/>
          <w:highlight w:val="white"/>
        </w:rPr>
        <w:t xml:space="preserve">“(…) </w:t>
      </w:r>
      <w:r w:rsidRPr="003836A1">
        <w:rPr>
          <w:rFonts w:ascii="Arial" w:eastAsia="Arial" w:hAnsi="Arial" w:cs="Arial"/>
          <w:i/>
        </w:rPr>
        <w:t>La Alcaldía de Medellín participó a través de Santiago Gómez Barrera, en calidad de Alcalde en encargo, para defender la constitucionalidad de las normas legales acusadas. A su parecer,</w:t>
      </w:r>
    </w:p>
    <w:p w14:paraId="154A8193" w14:textId="77777777" w:rsidR="00610266" w:rsidRPr="003836A1" w:rsidRDefault="00F95AB8" w:rsidP="003836A1">
      <w:pPr>
        <w:widowControl/>
        <w:shd w:val="clear" w:color="auto" w:fill="FFFFFF"/>
        <w:jc w:val="both"/>
        <w:rPr>
          <w:rFonts w:ascii="Arial" w:eastAsia="Arial" w:hAnsi="Arial" w:cs="Arial"/>
          <w:i/>
        </w:rPr>
      </w:pPr>
      <w:r w:rsidRPr="003836A1">
        <w:rPr>
          <w:rFonts w:ascii="Arial" w:eastAsia="Arial" w:hAnsi="Arial" w:cs="Arial"/>
          <w:i/>
        </w:rPr>
        <w:t> </w:t>
      </w:r>
    </w:p>
    <w:p w14:paraId="154A8194" w14:textId="77777777" w:rsidR="00610266" w:rsidRPr="003836A1" w:rsidRDefault="00F95AB8" w:rsidP="003836A1">
      <w:pPr>
        <w:widowControl/>
        <w:shd w:val="clear" w:color="auto" w:fill="FFFFFF"/>
        <w:ind w:left="851" w:right="618"/>
        <w:jc w:val="both"/>
        <w:rPr>
          <w:rFonts w:ascii="Arial" w:eastAsia="Arial" w:hAnsi="Arial" w:cs="Arial"/>
          <w:i/>
        </w:rPr>
      </w:pPr>
      <w:r w:rsidRPr="003836A1">
        <w:rPr>
          <w:rFonts w:ascii="Arial" w:eastAsia="Arial" w:hAnsi="Arial" w:cs="Arial"/>
          <w:i/>
        </w:rPr>
        <w:t>“(…) no les asiste razón a los accionantes, por cuanto el disfrute del espacio público debe ser entendido como valor constitucional vinculado con la protección a la integridad del espacio público, por tanto su establecimiento tiene un propósito constitucionalmente válido, además que en nuestro ordenamiento jurídico prevalece el interés general sobre el particular, en ese sentido el literal c del numeral 2 del artículo 33 y numeral 7 del artículo 140 de la Ley 1801 de 2016 – Código Nacional del Policía y Convivencia, deben ser declarados sin lugar a dudas exequibles, pues de no ser así se tendrían consecuencias funestas, ya que se podrían presentar problemas en materia de salubridad, seguridad, tranquilidad, moralidad pública, movilidad y en general condiciones que afectaría la convivencia pacífica de las personas que habitan o visitan el territorio nacional.”</w:t>
      </w:r>
    </w:p>
    <w:p w14:paraId="154A8195" w14:textId="77777777" w:rsidR="00610266" w:rsidRPr="003836A1" w:rsidRDefault="00F95AB8" w:rsidP="003836A1">
      <w:pPr>
        <w:widowControl/>
        <w:shd w:val="clear" w:color="auto" w:fill="FFFFFF"/>
        <w:jc w:val="both"/>
        <w:rPr>
          <w:rFonts w:ascii="Arial" w:eastAsia="Arial" w:hAnsi="Arial" w:cs="Arial"/>
        </w:rPr>
      </w:pPr>
      <w:r w:rsidRPr="003836A1">
        <w:rPr>
          <w:rFonts w:ascii="Arial" w:eastAsia="Arial" w:hAnsi="Arial" w:cs="Arial"/>
        </w:rPr>
        <w:t> </w:t>
      </w:r>
    </w:p>
    <w:p w14:paraId="154A8196" w14:textId="77777777" w:rsidR="00610266" w:rsidRPr="003836A1" w:rsidRDefault="00F95AB8" w:rsidP="003836A1">
      <w:pPr>
        <w:widowControl/>
        <w:shd w:val="clear" w:color="auto" w:fill="FFFFFF"/>
        <w:jc w:val="both"/>
        <w:rPr>
          <w:rFonts w:ascii="Arial" w:eastAsia="Arial" w:hAnsi="Arial" w:cs="Arial"/>
          <w:i/>
        </w:rPr>
      </w:pPr>
      <w:bookmarkStart w:id="21" w:name="_heading=h.3j2qqm3" w:colFirst="0" w:colLast="0"/>
      <w:bookmarkEnd w:id="21"/>
      <w:r w:rsidRPr="003836A1">
        <w:rPr>
          <w:rFonts w:ascii="Arial" w:eastAsia="Arial" w:hAnsi="Arial" w:cs="Arial"/>
          <w:i/>
          <w:highlight w:val="white"/>
        </w:rPr>
        <w:t xml:space="preserve">“(…) </w:t>
      </w:r>
      <w:r w:rsidRPr="003836A1">
        <w:rPr>
          <w:rFonts w:ascii="Arial" w:eastAsia="Arial" w:hAnsi="Arial" w:cs="Arial"/>
          <w:i/>
        </w:rPr>
        <w:t>El Ministerio de Salud y Protección social participó mediante apoderado para defender la constitucionalidad de las normas legales acusadas.</w:t>
      </w:r>
      <w:hyperlink r:id="rId101" w:anchor="_ftn15">
        <w:r w:rsidRPr="003836A1">
          <w:rPr>
            <w:rFonts w:ascii="Arial" w:eastAsia="Arial" w:hAnsi="Arial" w:cs="Arial"/>
            <w:i/>
            <w:u w:val="single"/>
            <w:vertAlign w:val="superscript"/>
          </w:rPr>
          <w:t>[15]</w:t>
        </w:r>
      </w:hyperlink>
      <w:r w:rsidRPr="003836A1">
        <w:rPr>
          <w:rFonts w:ascii="Arial" w:eastAsia="Arial" w:hAnsi="Arial" w:cs="Arial"/>
          <w:i/>
        </w:rPr>
        <w:t> Luego de transcribir en extenso una sentencia de la Corte Constitucional (C-211 de 2017), el Ministerio se pronuncia en los siguientes términos:</w:t>
      </w:r>
    </w:p>
    <w:p w14:paraId="154A8197" w14:textId="77777777" w:rsidR="00610266" w:rsidRPr="003836A1" w:rsidRDefault="00F95AB8" w:rsidP="003836A1">
      <w:pPr>
        <w:widowControl/>
        <w:shd w:val="clear" w:color="auto" w:fill="FFFFFF"/>
        <w:jc w:val="both"/>
        <w:rPr>
          <w:rFonts w:ascii="Arial" w:eastAsia="Arial" w:hAnsi="Arial" w:cs="Arial"/>
          <w:i/>
        </w:rPr>
      </w:pPr>
      <w:r w:rsidRPr="003836A1">
        <w:rPr>
          <w:rFonts w:ascii="Arial" w:eastAsia="Arial" w:hAnsi="Arial" w:cs="Arial"/>
          <w:i/>
        </w:rPr>
        <w:t> </w:t>
      </w:r>
    </w:p>
    <w:p w14:paraId="154A8198" w14:textId="77777777" w:rsidR="00610266" w:rsidRPr="003836A1" w:rsidRDefault="00F95AB8" w:rsidP="003836A1">
      <w:pPr>
        <w:widowControl/>
        <w:shd w:val="clear" w:color="auto" w:fill="FFFFFF"/>
        <w:ind w:left="851" w:right="618"/>
        <w:jc w:val="both"/>
        <w:rPr>
          <w:rFonts w:ascii="Arial" w:eastAsia="Arial" w:hAnsi="Arial" w:cs="Arial"/>
          <w:i/>
        </w:rPr>
      </w:pPr>
      <w:r w:rsidRPr="003836A1">
        <w:rPr>
          <w:rFonts w:ascii="Arial" w:eastAsia="Arial" w:hAnsi="Arial" w:cs="Arial"/>
          <w:i/>
        </w:rPr>
        <w:t>“[…] bien puede el legislador establecer restricciones, con sus condignas sanciones, para preservar la integridad del espacio público haciendo prevalecer el uso común sobre el interés particular, valga decir, prohibir el consumo de dichas sustancias, y con mayor razón si la prohibición señala de manera específica lugares en donde, por regla general, las personas van a disfrutar del aire libre y realizar la práctica de actividades deportivas, como son los parques, al que igualmente acuden con prevalencia niños, niñas y/o adolescentes, amén de que los parques usualmente están ubicados cerca de establecimientos educativos.”</w:t>
      </w:r>
    </w:p>
    <w:p w14:paraId="154A8199" w14:textId="77777777" w:rsidR="00610266" w:rsidRPr="003836A1" w:rsidRDefault="00610266" w:rsidP="003836A1">
      <w:pPr>
        <w:rPr>
          <w:rFonts w:ascii="Arial" w:eastAsia="Arial" w:hAnsi="Arial" w:cs="Arial"/>
          <w:highlight w:val="white"/>
        </w:rPr>
      </w:pPr>
    </w:p>
    <w:p w14:paraId="154A819A" w14:textId="77777777" w:rsidR="00610266" w:rsidRPr="003836A1" w:rsidRDefault="00F95AB8" w:rsidP="003836A1">
      <w:pPr>
        <w:jc w:val="both"/>
        <w:rPr>
          <w:rFonts w:ascii="Arial" w:eastAsia="Arial" w:hAnsi="Arial" w:cs="Arial"/>
          <w:i/>
          <w:highlight w:val="white"/>
        </w:rPr>
      </w:pPr>
      <w:bookmarkStart w:id="22" w:name="_heading=h.1y810tw" w:colFirst="0" w:colLast="0"/>
      <w:bookmarkEnd w:id="22"/>
      <w:r w:rsidRPr="003836A1">
        <w:rPr>
          <w:rFonts w:ascii="Arial" w:eastAsia="Arial" w:hAnsi="Arial" w:cs="Arial"/>
          <w:i/>
          <w:highlight w:val="white"/>
        </w:rPr>
        <w:t>“(…) El Ministerio de Defensa intervino mediante apoderado para solicitar la exequibilidad de los Artículos demandados.</w:t>
      </w:r>
      <w:hyperlink r:id="rId102" w:anchor="_ftn17">
        <w:r w:rsidRPr="003836A1">
          <w:rPr>
            <w:rFonts w:ascii="Arial" w:eastAsia="Arial" w:hAnsi="Arial" w:cs="Arial"/>
            <w:i/>
            <w:highlight w:val="white"/>
            <w:u w:val="single"/>
            <w:vertAlign w:val="superscript"/>
          </w:rPr>
          <w:t>[17]</w:t>
        </w:r>
      </w:hyperlink>
      <w:r w:rsidRPr="003836A1">
        <w:rPr>
          <w:rFonts w:ascii="Arial" w:eastAsia="Arial" w:hAnsi="Arial" w:cs="Arial"/>
          <w:i/>
          <w:highlight w:val="white"/>
        </w:rPr>
        <w:t> </w:t>
      </w:r>
    </w:p>
    <w:p w14:paraId="154A819B" w14:textId="77777777" w:rsidR="00610266" w:rsidRPr="003836A1" w:rsidRDefault="00610266" w:rsidP="003836A1">
      <w:pPr>
        <w:jc w:val="both"/>
        <w:rPr>
          <w:rFonts w:ascii="Arial" w:eastAsia="Arial" w:hAnsi="Arial" w:cs="Arial"/>
          <w:i/>
          <w:highlight w:val="white"/>
        </w:rPr>
      </w:pPr>
    </w:p>
    <w:p w14:paraId="154A819C" w14:textId="77777777" w:rsidR="00610266" w:rsidRPr="003836A1" w:rsidRDefault="00F95AB8" w:rsidP="003836A1">
      <w:pPr>
        <w:ind w:left="851" w:right="571"/>
        <w:jc w:val="both"/>
        <w:rPr>
          <w:rFonts w:ascii="Arial" w:eastAsia="Arial" w:hAnsi="Arial" w:cs="Arial"/>
          <w:i/>
          <w:highlight w:val="white"/>
        </w:rPr>
      </w:pPr>
      <w:r w:rsidRPr="003836A1">
        <w:rPr>
          <w:rFonts w:ascii="Arial" w:eastAsia="Arial" w:hAnsi="Arial" w:cs="Arial"/>
          <w:i/>
          <w:highlight w:val="white"/>
        </w:rPr>
        <w:t>En su criterio, los mismos no vulneran los derechos fundamentales invocados por los accionantes, sino que buscan “la garantía de la convivencia, la seguridad ciudadana, la primacía del bien general sobre el particular, la dignidad de todos los ciudadanos y el disfrute armonioso del espacio público.” Resalta que la jurisprudencia constitucional, en concreto las sentencias SU-476 de 1997, C-262 de 2002, C-435 de 2015 y C-211 de 2017, ha reconocido que existen aspectos inherentes para preservar y conservar el espacio público y, en consecuencia, “el ejercicio de los derechos fundamentales se encuentra restringido por determinadas exigencias que trae consigo la vida en sociedad, sin que ello se contraponga al libre desarrollo de la personalidad, ni a otros derechos (…)”.</w:t>
      </w:r>
    </w:p>
    <w:p w14:paraId="154A819D" w14:textId="77777777" w:rsidR="00610266" w:rsidRPr="003836A1" w:rsidRDefault="00610266" w:rsidP="003836A1">
      <w:pPr>
        <w:rPr>
          <w:rFonts w:ascii="Arial" w:eastAsia="Arial" w:hAnsi="Arial" w:cs="Arial"/>
          <w:i/>
          <w:highlight w:val="white"/>
        </w:rPr>
      </w:pPr>
    </w:p>
    <w:p w14:paraId="154A819E" w14:textId="77777777" w:rsidR="00610266" w:rsidRPr="003836A1" w:rsidRDefault="00F95AB8" w:rsidP="003836A1">
      <w:pPr>
        <w:widowControl/>
        <w:shd w:val="clear" w:color="auto" w:fill="FFFFFF"/>
        <w:jc w:val="both"/>
        <w:rPr>
          <w:rFonts w:ascii="Arial" w:eastAsia="Arial" w:hAnsi="Arial" w:cs="Arial"/>
          <w:i/>
        </w:rPr>
      </w:pPr>
      <w:r w:rsidRPr="003836A1">
        <w:rPr>
          <w:rFonts w:ascii="Arial" w:eastAsia="Arial" w:hAnsi="Arial" w:cs="Arial"/>
          <w:i/>
        </w:rPr>
        <w:t>“(…) Finalmente, con relación a la afectación del derecho al espacio público, el Ministerio Público manifiesta que,</w:t>
      </w:r>
    </w:p>
    <w:p w14:paraId="154A819F" w14:textId="77777777" w:rsidR="00610266" w:rsidRPr="003836A1" w:rsidRDefault="00F95AB8" w:rsidP="003836A1">
      <w:pPr>
        <w:widowControl/>
        <w:shd w:val="clear" w:color="auto" w:fill="FFFFFF"/>
        <w:jc w:val="both"/>
        <w:rPr>
          <w:rFonts w:ascii="Arial" w:eastAsia="Arial" w:hAnsi="Arial" w:cs="Arial"/>
          <w:i/>
        </w:rPr>
      </w:pPr>
      <w:r w:rsidRPr="003836A1">
        <w:rPr>
          <w:rFonts w:ascii="Arial" w:eastAsia="Arial" w:hAnsi="Arial" w:cs="Arial"/>
          <w:i/>
        </w:rPr>
        <w:t> </w:t>
      </w:r>
    </w:p>
    <w:p w14:paraId="154A81A0" w14:textId="77777777" w:rsidR="00610266" w:rsidRPr="003836A1" w:rsidRDefault="00F95AB8" w:rsidP="003836A1">
      <w:pPr>
        <w:widowControl/>
        <w:shd w:val="clear" w:color="auto" w:fill="FFFFFF"/>
        <w:ind w:left="851" w:right="618"/>
        <w:jc w:val="both"/>
        <w:rPr>
          <w:rFonts w:ascii="Arial" w:eastAsia="Arial" w:hAnsi="Arial" w:cs="Arial"/>
          <w:i/>
        </w:rPr>
      </w:pPr>
      <w:r w:rsidRPr="003836A1">
        <w:rPr>
          <w:rFonts w:ascii="Arial" w:eastAsia="Arial" w:hAnsi="Arial" w:cs="Arial"/>
          <w:i/>
        </w:rPr>
        <w:t>“(…) la prohibición del consumo de alcohol y sustancias psicoactivas en el espacio público es razonable bajo cada uno de los supuestos analizados. Se trata de disposiciones que persiguen un fin constitucionalmente legítimo (la preservación del interés general, asegurar la convivencia pacífica y la protección de la integridad y destinación al uso común del espacio público) por medio de una restricción a un derecho (autonomía y uso del espacio público), a través de un medio que no está proscrito constitucionalmente y que resulta adecuado (prohibición del consumo de alcohol y sustancias psicoactivas en el espacio público), y que además es conducente para lograr el fin precitado.”</w:t>
      </w:r>
    </w:p>
    <w:p w14:paraId="154A81A1" w14:textId="77777777" w:rsidR="00610266" w:rsidRPr="003836A1" w:rsidRDefault="00610266" w:rsidP="003836A1">
      <w:pPr>
        <w:shd w:val="clear" w:color="auto" w:fill="FFFFFF"/>
        <w:jc w:val="both"/>
        <w:rPr>
          <w:rFonts w:ascii="Arial" w:eastAsia="Arial" w:hAnsi="Arial" w:cs="Arial"/>
        </w:rPr>
      </w:pPr>
    </w:p>
    <w:p w14:paraId="154A81A2" w14:textId="77777777" w:rsidR="00610266" w:rsidRPr="003836A1" w:rsidRDefault="00F95AB8" w:rsidP="003836A1">
      <w:pPr>
        <w:widowControl/>
        <w:shd w:val="clear" w:color="auto" w:fill="FFFFFF"/>
        <w:jc w:val="both"/>
        <w:rPr>
          <w:rFonts w:ascii="Arial" w:eastAsia="Arial" w:hAnsi="Arial" w:cs="Arial"/>
        </w:rPr>
      </w:pPr>
      <w:r w:rsidRPr="003836A1">
        <w:rPr>
          <w:rFonts w:ascii="Arial" w:eastAsia="Arial" w:hAnsi="Arial" w:cs="Arial"/>
        </w:rPr>
        <w:t>Y tal vez una de las intervenciones más importantes estuvo a cargo del Procurador quien indicó que:</w:t>
      </w:r>
    </w:p>
    <w:p w14:paraId="154A81A3" w14:textId="77777777" w:rsidR="00610266" w:rsidRPr="003836A1" w:rsidRDefault="00610266" w:rsidP="003836A1">
      <w:pPr>
        <w:widowControl/>
        <w:shd w:val="clear" w:color="auto" w:fill="FFFFFF"/>
        <w:jc w:val="both"/>
        <w:rPr>
          <w:rFonts w:ascii="Arial" w:eastAsia="Arial" w:hAnsi="Arial" w:cs="Arial"/>
        </w:rPr>
      </w:pPr>
    </w:p>
    <w:p w14:paraId="154A81A4" w14:textId="77777777" w:rsidR="00610266" w:rsidRPr="003836A1" w:rsidRDefault="00F95AB8" w:rsidP="003836A1">
      <w:pPr>
        <w:widowControl/>
        <w:shd w:val="clear" w:color="auto" w:fill="FFFFFF"/>
        <w:ind w:left="851" w:right="571"/>
        <w:jc w:val="both"/>
        <w:rPr>
          <w:rFonts w:ascii="Arial" w:eastAsia="Arial" w:hAnsi="Arial" w:cs="Arial"/>
          <w:i/>
        </w:rPr>
      </w:pPr>
      <w:r w:rsidRPr="003836A1">
        <w:rPr>
          <w:rFonts w:ascii="Arial" w:eastAsia="Arial" w:hAnsi="Arial" w:cs="Arial"/>
          <w:i/>
        </w:rPr>
        <w:t>“(…) resalta que los accionantes consideran que existen otros medios que son menos gravosos de los derechos fundamentales invocados, “como que la restricción únicamente opere en aquellos espacios destinados de forma exclusiva a los niños, niñas y adolescentes.” A su juicio, la medida propuesta por los accionantes “no es adecuada, pues todo espacio público está destinado en potencia al uso y goce de los menores de edad.” Lejos de lo que afirman en su acción, el Procurador sostiene que la medida “adoptada por el legislador es la que menos limita el derecho de los particulares a utilizar el espacio público”, y esto sería así por cuanto “la destinación o finalidad de estos espacios es primordialmente la satisfacción de las necesidades colectivas, el ocio y el esparcimiento del conjunto de la sociedad.” Esto mostraría a su vez, se advierte, que la medida es idónea.”</w:t>
      </w:r>
    </w:p>
    <w:p w14:paraId="154A81A5" w14:textId="77777777" w:rsidR="00610266" w:rsidRPr="003836A1" w:rsidRDefault="00610266" w:rsidP="003836A1">
      <w:pPr>
        <w:shd w:val="clear" w:color="auto" w:fill="FFFFFF"/>
        <w:jc w:val="both"/>
        <w:rPr>
          <w:rFonts w:ascii="Arial" w:eastAsia="Arial" w:hAnsi="Arial" w:cs="Arial"/>
        </w:rPr>
      </w:pPr>
    </w:p>
    <w:p w14:paraId="154A81A6" w14:textId="77777777" w:rsidR="00610266" w:rsidRPr="003836A1" w:rsidRDefault="00F95AB8" w:rsidP="003836A1">
      <w:pPr>
        <w:shd w:val="clear" w:color="auto" w:fill="FFFFFF"/>
        <w:jc w:val="both"/>
        <w:rPr>
          <w:rFonts w:ascii="Arial" w:eastAsia="Arial" w:hAnsi="Arial" w:cs="Arial"/>
        </w:rPr>
      </w:pPr>
      <w:r w:rsidRPr="003836A1">
        <w:rPr>
          <w:rFonts w:ascii="Arial" w:eastAsia="Arial" w:hAnsi="Arial" w:cs="Arial"/>
        </w:rPr>
        <w:t>Todas las intervenciones tenían algo en común, por un lado, que dichas disposiciones perseguían un fin constitucionalmente legítimo como la preservación del interés general, la dignidad de todos los ciudadanos y el disfrute armonioso del espacio público. Y por otro lado que era sumamente importa</w:t>
      </w:r>
      <w:r w:rsidR="00E8613F">
        <w:rPr>
          <w:rFonts w:ascii="Arial" w:eastAsia="Arial" w:hAnsi="Arial" w:cs="Arial"/>
        </w:rPr>
        <w:t>nte</w:t>
      </w:r>
      <w:r w:rsidRPr="003836A1">
        <w:rPr>
          <w:rFonts w:ascii="Arial" w:eastAsia="Arial" w:hAnsi="Arial" w:cs="Arial"/>
        </w:rPr>
        <w:t xml:space="preserve"> a la hora de regular tener como primer eje la prevalencia de los derechos de niños, niñas y adolescentes y su protección integral.</w:t>
      </w:r>
    </w:p>
    <w:p w14:paraId="154A81A7" w14:textId="77777777" w:rsidR="00610266" w:rsidRPr="003836A1" w:rsidRDefault="00610266" w:rsidP="003836A1">
      <w:pPr>
        <w:shd w:val="clear" w:color="auto" w:fill="FFFFFF"/>
        <w:jc w:val="both"/>
        <w:rPr>
          <w:rFonts w:ascii="Arial" w:eastAsia="Arial" w:hAnsi="Arial" w:cs="Arial"/>
        </w:rPr>
      </w:pPr>
    </w:p>
    <w:p w14:paraId="154A81A8" w14:textId="77777777" w:rsidR="00610266" w:rsidRPr="003836A1" w:rsidRDefault="00F95AB8" w:rsidP="003836A1">
      <w:pPr>
        <w:shd w:val="clear" w:color="auto" w:fill="FFFFFF"/>
        <w:jc w:val="both"/>
        <w:rPr>
          <w:rFonts w:ascii="Arial" w:eastAsia="Arial" w:hAnsi="Arial" w:cs="Arial"/>
        </w:rPr>
      </w:pPr>
      <w:r w:rsidRPr="003836A1">
        <w:rPr>
          <w:rFonts w:ascii="Arial" w:eastAsia="Arial" w:hAnsi="Arial" w:cs="Arial"/>
        </w:rPr>
        <w:t xml:space="preserve">Por último y como parte de la discusión, es preciso colocar sobre la mesa la vigencia, operatividad y validez del Decreto 825 de 2019 </w:t>
      </w:r>
      <w:r w:rsidRPr="003836A1">
        <w:rPr>
          <w:rFonts w:ascii="Arial" w:eastAsia="Arial" w:hAnsi="Arial" w:cs="Arial"/>
          <w:i/>
        </w:rPr>
        <w:t>“Por medio del cual se establecen los perímetros y zonas para la restricción del porte, consumo, facilitamiento, distribución, ofrecimiento y comercialización de sustancias psicoactivas, de conformidad con lo previsto en los artículos </w:t>
      </w:r>
      <w:hyperlink r:id="rId103">
        <w:r w:rsidRPr="003836A1">
          <w:rPr>
            <w:rFonts w:ascii="Arial" w:hAnsi="Arial" w:cs="Arial"/>
            <w:i/>
          </w:rPr>
          <w:t>2</w:t>
        </w:r>
      </w:hyperlink>
      <w:r w:rsidRPr="003836A1">
        <w:rPr>
          <w:rFonts w:ascii="Arial" w:eastAsia="Arial" w:hAnsi="Arial" w:cs="Arial"/>
          <w:i/>
        </w:rPr>
        <w:t> y </w:t>
      </w:r>
      <w:hyperlink r:id="rId104" w:anchor="3">
        <w:r w:rsidRPr="003836A1">
          <w:rPr>
            <w:rFonts w:ascii="Arial" w:hAnsi="Arial" w:cs="Arial"/>
            <w:i/>
          </w:rPr>
          <w:t>3</w:t>
        </w:r>
      </w:hyperlink>
      <w:r w:rsidRPr="003836A1">
        <w:rPr>
          <w:rFonts w:ascii="Arial" w:eastAsia="Arial" w:hAnsi="Arial" w:cs="Arial"/>
          <w:i/>
        </w:rPr>
        <w:t> de</w:t>
      </w:r>
      <w:r w:rsidR="00E8613F">
        <w:rPr>
          <w:rFonts w:ascii="Arial" w:eastAsia="Arial" w:hAnsi="Arial" w:cs="Arial"/>
          <w:i/>
        </w:rPr>
        <w:t xml:space="preserve"> </w:t>
      </w:r>
      <w:r w:rsidRPr="003836A1">
        <w:rPr>
          <w:rFonts w:ascii="Arial" w:eastAsia="Arial" w:hAnsi="Arial" w:cs="Arial"/>
          <w:i/>
        </w:rPr>
        <w:t xml:space="preserve">la </w:t>
      </w:r>
      <w:r w:rsidR="00E8613F">
        <w:rPr>
          <w:rFonts w:ascii="Arial" w:eastAsia="Arial" w:hAnsi="Arial" w:cs="Arial"/>
          <w:i/>
        </w:rPr>
        <w:t>L</w:t>
      </w:r>
      <w:r w:rsidRPr="003836A1">
        <w:rPr>
          <w:rFonts w:ascii="Arial" w:eastAsia="Arial" w:hAnsi="Arial" w:cs="Arial"/>
          <w:i/>
        </w:rPr>
        <w:t>ey 2000 de 2019, modificatorios parcialmente de los artículos </w:t>
      </w:r>
      <w:hyperlink r:id="rId105" w:anchor="34">
        <w:r w:rsidRPr="003836A1">
          <w:rPr>
            <w:rFonts w:ascii="Arial" w:hAnsi="Arial" w:cs="Arial"/>
            <w:i/>
          </w:rPr>
          <w:t>34</w:t>
        </w:r>
      </w:hyperlink>
      <w:r w:rsidRPr="003836A1">
        <w:rPr>
          <w:rFonts w:ascii="Arial" w:eastAsia="Arial" w:hAnsi="Arial" w:cs="Arial"/>
          <w:i/>
        </w:rPr>
        <w:t> y </w:t>
      </w:r>
      <w:hyperlink r:id="rId106" w:anchor="140">
        <w:r w:rsidRPr="003836A1">
          <w:rPr>
            <w:rFonts w:ascii="Arial" w:hAnsi="Arial" w:cs="Arial"/>
            <w:i/>
          </w:rPr>
          <w:t>140</w:t>
        </w:r>
      </w:hyperlink>
      <w:r w:rsidRPr="003836A1">
        <w:rPr>
          <w:rFonts w:ascii="Arial" w:eastAsia="Arial" w:hAnsi="Arial" w:cs="Arial"/>
          <w:i/>
        </w:rPr>
        <w:t> de la Ley 1801 de 2016, y se dictan otras disposiciones”</w:t>
      </w:r>
    </w:p>
    <w:p w14:paraId="154A81A9" w14:textId="77777777" w:rsidR="00610266" w:rsidRPr="003836A1" w:rsidRDefault="00610266" w:rsidP="003836A1">
      <w:pPr>
        <w:shd w:val="clear" w:color="auto" w:fill="FFFFFF"/>
        <w:jc w:val="both"/>
        <w:rPr>
          <w:rFonts w:ascii="Arial" w:eastAsia="Arial" w:hAnsi="Arial" w:cs="Arial"/>
        </w:rPr>
      </w:pPr>
    </w:p>
    <w:p w14:paraId="154A81AA" w14:textId="77777777" w:rsidR="00610266" w:rsidRPr="003836A1" w:rsidRDefault="00F95AB8" w:rsidP="003836A1">
      <w:pPr>
        <w:ind w:hanging="11"/>
        <w:jc w:val="both"/>
        <w:rPr>
          <w:rFonts w:ascii="Arial" w:eastAsia="Arial" w:hAnsi="Arial" w:cs="Arial"/>
        </w:rPr>
      </w:pPr>
      <w:r w:rsidRPr="003836A1">
        <w:rPr>
          <w:rFonts w:ascii="Arial" w:eastAsia="Arial" w:hAnsi="Arial" w:cs="Arial"/>
        </w:rPr>
        <w:t xml:space="preserve">Dicha norma expedida por la Alcaldía Mayor de Bogotá, estableció en su objeto un </w:t>
      </w:r>
      <w:r w:rsidRPr="003836A1">
        <w:rPr>
          <w:rFonts w:ascii="Arial" w:eastAsia="Arial" w:hAnsi="Arial" w:cs="Arial"/>
          <w:i/>
        </w:rPr>
        <w:t xml:space="preserve">“perímetro del espacio público o lugares abiertos al público o del espacio público, aledaños a las instituciones o centros educativos, en el que se restringirá el porte, consumo, facilitamiento, distribución, ofrecimiento y comercialización de sustancias psicoactivas - incluso la dosis personal; e igualmente las áreas o zonas del espacio público en las que no se podrán realizar tales actividades.”, </w:t>
      </w:r>
      <w:r w:rsidRPr="003836A1">
        <w:rPr>
          <w:rFonts w:ascii="Arial" w:eastAsia="Arial" w:hAnsi="Arial" w:cs="Arial"/>
        </w:rPr>
        <w:t>con sus correspondientes medidas correctivas en aras de brindar una especial protección a los niños, las niñas y los adolescentes, en procura de contribuir al disfrute de sus derechos a la salud, a un ambiente sano y a la recreación,</w:t>
      </w:r>
    </w:p>
    <w:p w14:paraId="154A81AB" w14:textId="77777777" w:rsidR="00610266" w:rsidRPr="003836A1" w:rsidRDefault="00610266" w:rsidP="003836A1">
      <w:pPr>
        <w:ind w:hanging="11"/>
        <w:jc w:val="both"/>
        <w:rPr>
          <w:rFonts w:ascii="Arial" w:eastAsia="Arial" w:hAnsi="Arial" w:cs="Arial"/>
        </w:rPr>
      </w:pPr>
    </w:p>
    <w:p w14:paraId="154A81AC" w14:textId="77777777" w:rsidR="00610266" w:rsidRPr="003836A1" w:rsidRDefault="00F95AB8" w:rsidP="003836A1">
      <w:pPr>
        <w:ind w:hanging="11"/>
        <w:jc w:val="both"/>
        <w:rPr>
          <w:rFonts w:ascii="Arial" w:eastAsia="Arial" w:hAnsi="Arial" w:cs="Arial"/>
        </w:rPr>
      </w:pPr>
      <w:r w:rsidRPr="003836A1">
        <w:rPr>
          <w:rFonts w:ascii="Arial" w:eastAsia="Arial" w:hAnsi="Arial" w:cs="Arial"/>
        </w:rPr>
        <w:t>Lo paradójico es que parece no estarse aplicando por entender que este pudo haber perdido fuerza ejecutoria, algo que la misma Secretaría Jurídica Distrital mediante Concepto 2202215430 de 2022 del 12 de agosto aclaró indicando que:</w:t>
      </w:r>
    </w:p>
    <w:p w14:paraId="154A81AD" w14:textId="77777777" w:rsidR="00610266" w:rsidRPr="003836A1" w:rsidRDefault="00610266" w:rsidP="003836A1">
      <w:pPr>
        <w:ind w:hanging="11"/>
        <w:jc w:val="both"/>
        <w:rPr>
          <w:rFonts w:ascii="Arial" w:eastAsia="Arial" w:hAnsi="Arial" w:cs="Arial"/>
        </w:rPr>
      </w:pPr>
    </w:p>
    <w:p w14:paraId="154A81AE" w14:textId="77777777" w:rsidR="00610266" w:rsidRPr="003836A1" w:rsidRDefault="00F95AB8" w:rsidP="003836A1">
      <w:pPr>
        <w:shd w:val="clear" w:color="auto" w:fill="FFFFFF"/>
        <w:jc w:val="both"/>
        <w:rPr>
          <w:rFonts w:ascii="Arial" w:eastAsia="Arial" w:hAnsi="Arial" w:cs="Arial"/>
        </w:rPr>
      </w:pPr>
      <w:r w:rsidRPr="003836A1">
        <w:rPr>
          <w:rFonts w:ascii="Arial" w:eastAsia="Arial" w:hAnsi="Arial" w:cs="Arial"/>
          <w:i/>
        </w:rPr>
        <w:t>“(…) Por lo expuesto, se concluye que el Decreto Distrital </w:t>
      </w:r>
      <w:hyperlink r:id="rId107">
        <w:r w:rsidRPr="003836A1">
          <w:rPr>
            <w:rFonts w:ascii="Arial" w:eastAsia="Arial" w:hAnsi="Arial" w:cs="Arial"/>
            <w:i/>
            <w:u w:val="single"/>
          </w:rPr>
          <w:t>825</w:t>
        </w:r>
      </w:hyperlink>
      <w:r w:rsidRPr="003836A1">
        <w:rPr>
          <w:rFonts w:ascii="Arial" w:eastAsia="Arial" w:hAnsi="Arial" w:cs="Arial"/>
          <w:i/>
        </w:rPr>
        <w:t> de 2019, “Por medio del cual se establecen los perímetros y zonas para la restricción del porte, consumo, facilitamiento, distribución, ofrecimiento y comercialización de sustancias psicoactivas, de conformidad con lo previsto en los artículos </w:t>
      </w:r>
      <w:hyperlink r:id="rId108" w:anchor="2">
        <w:r w:rsidRPr="003836A1">
          <w:rPr>
            <w:rFonts w:ascii="Arial" w:eastAsia="Arial" w:hAnsi="Arial" w:cs="Arial"/>
            <w:i/>
            <w:u w:val="single"/>
          </w:rPr>
          <w:t>2</w:t>
        </w:r>
      </w:hyperlink>
      <w:r w:rsidRPr="003836A1">
        <w:rPr>
          <w:rFonts w:ascii="Arial" w:eastAsia="Arial" w:hAnsi="Arial" w:cs="Arial"/>
          <w:i/>
        </w:rPr>
        <w:t> y </w:t>
      </w:r>
      <w:hyperlink r:id="rId109" w:anchor="3">
        <w:r w:rsidRPr="003836A1">
          <w:rPr>
            <w:rFonts w:ascii="Arial" w:eastAsia="Arial" w:hAnsi="Arial" w:cs="Arial"/>
            <w:i/>
            <w:u w:val="single"/>
          </w:rPr>
          <w:t>3</w:t>
        </w:r>
      </w:hyperlink>
      <w:r w:rsidRPr="003836A1">
        <w:rPr>
          <w:rFonts w:ascii="Arial" w:eastAsia="Arial" w:hAnsi="Arial" w:cs="Arial"/>
          <w:i/>
        </w:rPr>
        <w:t xml:space="preserve"> de la </w:t>
      </w:r>
      <w:r w:rsidR="00E8613F">
        <w:rPr>
          <w:rFonts w:ascii="Arial" w:eastAsia="Arial" w:hAnsi="Arial" w:cs="Arial"/>
          <w:i/>
        </w:rPr>
        <w:t>l</w:t>
      </w:r>
      <w:r w:rsidRPr="003836A1">
        <w:rPr>
          <w:rFonts w:ascii="Arial" w:eastAsia="Arial" w:hAnsi="Arial" w:cs="Arial"/>
          <w:i/>
        </w:rPr>
        <w:t>ey 2000 de 2019, modificatorios parcialmente de los artículos </w:t>
      </w:r>
      <w:hyperlink r:id="rId110" w:anchor="34">
        <w:r w:rsidRPr="003836A1">
          <w:rPr>
            <w:rFonts w:ascii="Arial" w:eastAsia="Arial" w:hAnsi="Arial" w:cs="Arial"/>
            <w:i/>
            <w:u w:val="single"/>
          </w:rPr>
          <w:t>34</w:t>
        </w:r>
      </w:hyperlink>
      <w:r w:rsidRPr="003836A1">
        <w:rPr>
          <w:rFonts w:ascii="Arial" w:eastAsia="Arial" w:hAnsi="Arial" w:cs="Arial"/>
          <w:i/>
        </w:rPr>
        <w:t> y </w:t>
      </w:r>
      <w:hyperlink r:id="rId111" w:anchor="140">
        <w:r w:rsidRPr="003836A1">
          <w:rPr>
            <w:rFonts w:ascii="Arial" w:eastAsia="Arial" w:hAnsi="Arial" w:cs="Arial"/>
            <w:i/>
            <w:u w:val="single"/>
          </w:rPr>
          <w:t>140</w:t>
        </w:r>
      </w:hyperlink>
      <w:r w:rsidRPr="003836A1">
        <w:rPr>
          <w:rFonts w:ascii="Arial" w:eastAsia="Arial" w:hAnsi="Arial" w:cs="Arial"/>
          <w:i/>
        </w:rPr>
        <w:t> de la Ley 1801 de 2016, y se dictan otras disposiciones”, </w:t>
      </w:r>
      <w:r w:rsidRPr="003836A1">
        <w:rPr>
          <w:rFonts w:ascii="Arial" w:eastAsia="Arial" w:hAnsi="Arial" w:cs="Arial"/>
          <w:b/>
          <w:i/>
          <w:u w:val="single"/>
        </w:rPr>
        <w:t>está vigente, pues no ha sido derogado expresa o tácitamente y tampoco concurre causal de pérdida de ejecutoria del acto administrativo, que afecte su eficacia y en consecuencia su vigencia</w:t>
      </w:r>
      <w:r w:rsidRPr="003836A1">
        <w:rPr>
          <w:rFonts w:ascii="Arial" w:eastAsia="Arial" w:hAnsi="Arial" w:cs="Arial"/>
        </w:rPr>
        <w:t>.” (negrilla y subrayado por fuera de texto)</w:t>
      </w:r>
    </w:p>
    <w:p w14:paraId="154A81AF" w14:textId="77777777" w:rsidR="00610266" w:rsidRPr="003836A1" w:rsidRDefault="00610266" w:rsidP="003836A1">
      <w:pPr>
        <w:shd w:val="clear" w:color="auto" w:fill="FFFFFF"/>
        <w:jc w:val="both"/>
        <w:rPr>
          <w:rFonts w:ascii="Arial" w:eastAsia="Arial" w:hAnsi="Arial" w:cs="Arial"/>
        </w:rPr>
      </w:pPr>
    </w:p>
    <w:p w14:paraId="154A81B0" w14:textId="77777777" w:rsidR="00610266" w:rsidRPr="003836A1" w:rsidRDefault="00F95AB8" w:rsidP="003836A1">
      <w:pPr>
        <w:shd w:val="clear" w:color="auto" w:fill="FFFFFF"/>
        <w:jc w:val="both"/>
        <w:rPr>
          <w:rFonts w:ascii="Arial" w:eastAsia="Arial" w:hAnsi="Arial" w:cs="Arial"/>
        </w:rPr>
      </w:pPr>
      <w:r w:rsidRPr="003836A1">
        <w:rPr>
          <w:rFonts w:ascii="Arial" w:eastAsia="Arial" w:hAnsi="Arial" w:cs="Arial"/>
        </w:rPr>
        <w:t xml:space="preserve">Hay otro artículo dentro del Código Nacional de Seguridad y Convivencia que es el 38, y es aquel que regula los comportamientos que afectan la integridad de los niños, niñas y adolescentes, de donde se debe destacar que no se les debe inducir a consumir bebidas alcohólicas, cigarrillo, tabaco y sus derivados, sustancias psicoactivas o cualquier sustancia que afecte su salud. </w:t>
      </w:r>
    </w:p>
    <w:p w14:paraId="154A81B1" w14:textId="77777777" w:rsidR="00610266" w:rsidRPr="003836A1" w:rsidRDefault="00610266" w:rsidP="003836A1">
      <w:pPr>
        <w:shd w:val="clear" w:color="auto" w:fill="FFFFFF"/>
        <w:jc w:val="both"/>
        <w:rPr>
          <w:rFonts w:ascii="Arial" w:eastAsia="Arial" w:hAnsi="Arial" w:cs="Arial"/>
        </w:rPr>
      </w:pPr>
    </w:p>
    <w:p w14:paraId="154A81B2" w14:textId="77777777" w:rsidR="00610266" w:rsidRPr="003836A1" w:rsidRDefault="00F95AB8" w:rsidP="003836A1">
      <w:pPr>
        <w:shd w:val="clear" w:color="auto" w:fill="FFFFFF"/>
        <w:jc w:val="both"/>
        <w:rPr>
          <w:rFonts w:ascii="Arial" w:eastAsia="Arial" w:hAnsi="Arial" w:cs="Arial"/>
        </w:rPr>
      </w:pPr>
      <w:r w:rsidRPr="003836A1">
        <w:rPr>
          <w:rFonts w:ascii="Arial" w:eastAsia="Arial" w:hAnsi="Arial" w:cs="Arial"/>
        </w:rPr>
        <w:t>Eso quiere decir que las disposiciones normativas están dadas, lo que se necesita es que las autoridades tenga</w:t>
      </w:r>
      <w:r w:rsidR="00E8613F">
        <w:rPr>
          <w:rFonts w:ascii="Arial" w:eastAsia="Arial" w:hAnsi="Arial" w:cs="Arial"/>
        </w:rPr>
        <w:t>n</w:t>
      </w:r>
      <w:r w:rsidRPr="003836A1">
        <w:rPr>
          <w:rFonts w:ascii="Arial" w:eastAsia="Arial" w:hAnsi="Arial" w:cs="Arial"/>
        </w:rPr>
        <w:t xml:space="preserve"> claridad respecto de su aplicación y se efectúen los operativos y las actividades necesarias para que se protejan en debida forma los derechos de los niños, niñas y adolescentes. </w:t>
      </w:r>
    </w:p>
    <w:p w14:paraId="154A81B3" w14:textId="77777777" w:rsidR="00610266" w:rsidRPr="003836A1" w:rsidRDefault="00610266" w:rsidP="003836A1">
      <w:pPr>
        <w:shd w:val="clear" w:color="auto" w:fill="FFFFFF"/>
        <w:jc w:val="both"/>
        <w:rPr>
          <w:rFonts w:ascii="Arial" w:eastAsia="Arial" w:hAnsi="Arial" w:cs="Arial"/>
        </w:rPr>
      </w:pPr>
    </w:p>
    <w:p w14:paraId="154A81B4" w14:textId="77777777" w:rsidR="00610266" w:rsidRPr="003836A1" w:rsidRDefault="00F95AB8" w:rsidP="003836A1">
      <w:pPr>
        <w:shd w:val="clear" w:color="auto" w:fill="FFFFFF"/>
        <w:jc w:val="both"/>
        <w:rPr>
          <w:rFonts w:ascii="Arial" w:eastAsia="Arial" w:hAnsi="Arial" w:cs="Arial"/>
        </w:rPr>
      </w:pPr>
      <w:r w:rsidRPr="003836A1">
        <w:rPr>
          <w:rFonts w:ascii="Arial" w:eastAsia="Arial" w:hAnsi="Arial" w:cs="Arial"/>
        </w:rPr>
        <w:t xml:space="preserve">Ya para finalizar y teniendo este fallo como eje central de la necesidad de una regulación sobre el procedimiento, consecuencias y alcance de las normas constitucionales y legales analizadas, debemos abordar la </w:t>
      </w:r>
      <w:r w:rsidRPr="003836A1">
        <w:rPr>
          <w:rFonts w:ascii="Arial" w:eastAsia="Arial" w:hAnsi="Arial" w:cs="Arial"/>
          <w:b/>
        </w:rPr>
        <w:t>Sentencia C-127 de 2023</w:t>
      </w:r>
      <w:r w:rsidRPr="003836A1">
        <w:rPr>
          <w:rFonts w:ascii="Arial" w:eastAsia="Arial" w:hAnsi="Arial" w:cs="Arial"/>
        </w:rPr>
        <w:t xml:space="preserve"> en donde se vuelve a analizar una demanda de inconstitucionalidad, pero ahora en contra de los numerales 13 y 14 (parciales) y los numerales 13 y 14 del parágrafo 2° del artículo 140 de la Ley 1801 de 2016, adicionados por el artículo 3º de la Ley 2000 de 2019.</w:t>
      </w:r>
    </w:p>
    <w:p w14:paraId="154A81B5" w14:textId="77777777" w:rsidR="00610266" w:rsidRPr="003836A1" w:rsidRDefault="00610266" w:rsidP="003836A1">
      <w:pPr>
        <w:shd w:val="clear" w:color="auto" w:fill="FFFFFF"/>
        <w:jc w:val="both"/>
        <w:rPr>
          <w:rFonts w:ascii="Arial" w:eastAsia="Arial" w:hAnsi="Arial" w:cs="Arial"/>
        </w:rPr>
      </w:pPr>
    </w:p>
    <w:p w14:paraId="154A81B6" w14:textId="77777777" w:rsidR="00610266" w:rsidRPr="003836A1" w:rsidRDefault="00F95AB8" w:rsidP="003836A1">
      <w:pPr>
        <w:shd w:val="clear" w:color="auto" w:fill="FFFFFF"/>
        <w:jc w:val="both"/>
        <w:rPr>
          <w:rFonts w:ascii="Arial" w:eastAsia="Arial" w:hAnsi="Arial" w:cs="Arial"/>
        </w:rPr>
      </w:pPr>
      <w:r w:rsidRPr="003836A1">
        <w:rPr>
          <w:rFonts w:ascii="Arial" w:eastAsia="Arial" w:hAnsi="Arial" w:cs="Arial"/>
        </w:rPr>
        <w:t>Tal y cómo pasó en su momento con la Sentencia C-253 de 2019 algunos sectores se pronunciaron al respecto dentro de los cuales destaco lo siguiente:</w:t>
      </w:r>
    </w:p>
    <w:p w14:paraId="154A81B7" w14:textId="77777777" w:rsidR="00610266" w:rsidRPr="003836A1" w:rsidRDefault="00610266" w:rsidP="003836A1">
      <w:pPr>
        <w:shd w:val="clear" w:color="auto" w:fill="FFFFFF"/>
        <w:jc w:val="both"/>
        <w:rPr>
          <w:rFonts w:ascii="Arial" w:eastAsia="Arial" w:hAnsi="Arial" w:cs="Arial"/>
        </w:rPr>
      </w:pPr>
    </w:p>
    <w:p w14:paraId="154A81B8" w14:textId="77777777" w:rsidR="00610266" w:rsidRPr="003836A1" w:rsidRDefault="00F95AB8" w:rsidP="003836A1">
      <w:pPr>
        <w:widowControl/>
        <w:shd w:val="clear" w:color="auto" w:fill="FFFFFF"/>
        <w:ind w:left="851" w:right="571"/>
        <w:jc w:val="both"/>
        <w:rPr>
          <w:rFonts w:ascii="Arial" w:eastAsia="Arial" w:hAnsi="Arial" w:cs="Arial"/>
          <w:i/>
        </w:rPr>
      </w:pPr>
      <w:bookmarkStart w:id="23" w:name="_heading=h.4i7ojhp" w:colFirst="0" w:colLast="0"/>
      <w:bookmarkEnd w:id="23"/>
      <w:r w:rsidRPr="003836A1">
        <w:rPr>
          <w:rFonts w:ascii="Arial" w:eastAsia="Arial" w:hAnsi="Arial" w:cs="Arial"/>
          <w:b/>
          <w:i/>
        </w:rPr>
        <w:t>“(…) 7. Alcaldía Mayor de Bogotá. </w:t>
      </w:r>
      <w:r w:rsidRPr="003836A1">
        <w:rPr>
          <w:rFonts w:ascii="Arial" w:eastAsia="Arial" w:hAnsi="Arial" w:cs="Arial"/>
          <w:i/>
        </w:rPr>
        <w:t>Esta entidad pidió a la Corte declarar </w:t>
      </w:r>
      <w:r w:rsidRPr="003836A1">
        <w:rPr>
          <w:rFonts w:ascii="Arial" w:eastAsia="Arial" w:hAnsi="Arial" w:cs="Arial"/>
          <w:b/>
          <w:i/>
        </w:rPr>
        <w:t>EXEQUIBLES</w:t>
      </w:r>
      <w:r w:rsidRPr="003836A1">
        <w:rPr>
          <w:rFonts w:ascii="Arial" w:eastAsia="Arial" w:hAnsi="Arial" w:cs="Arial"/>
          <w:i/>
        </w:rPr>
        <w:t> las disposiciones acusadas. Al respecto, indicó que el Código Nacional de Seguridad y Convivencia Ciudadana “corresponde a una norma con vocación pedagógica, más que con carácter sancionatorio”</w:t>
      </w:r>
      <w:hyperlink r:id="rId112" w:anchor="_ftn53">
        <w:r w:rsidRPr="003836A1">
          <w:rPr>
            <w:rFonts w:ascii="Arial" w:eastAsia="Arial" w:hAnsi="Arial" w:cs="Arial"/>
            <w:i/>
            <w:u w:val="single"/>
            <w:vertAlign w:val="superscript"/>
          </w:rPr>
          <w:t>[53]</w:t>
        </w:r>
      </w:hyperlink>
      <w:r w:rsidRPr="003836A1">
        <w:rPr>
          <w:rFonts w:ascii="Arial" w:eastAsia="Arial" w:hAnsi="Arial" w:cs="Arial"/>
          <w:i/>
        </w:rPr>
        <w:t>. Bajo ese entendido, expuso que la norma no pretende establecer un modelo de comportamiento que anule las garantías fundamentales, sino establecer límites razonables que permitan la convivencia pacífica. En seguida, presentó estadísticas</w:t>
      </w:r>
      <w:hyperlink r:id="rId113" w:anchor="_ftn54">
        <w:r w:rsidRPr="003836A1">
          <w:rPr>
            <w:rFonts w:ascii="Arial" w:eastAsia="Arial" w:hAnsi="Arial" w:cs="Arial"/>
            <w:i/>
            <w:u w:val="single"/>
            <w:vertAlign w:val="superscript"/>
          </w:rPr>
          <w:t>[54]</w:t>
        </w:r>
      </w:hyperlink>
      <w:r w:rsidRPr="003836A1">
        <w:rPr>
          <w:rFonts w:ascii="Arial" w:eastAsia="Arial" w:hAnsi="Arial" w:cs="Arial"/>
          <w:i/>
        </w:rPr>
        <w:t> sobre las órdenes de comparendo impuestas en Bogotá D.C., respecto a los comportamientos descritos en las normas parcialmente acusadas, de la siguiente manera:</w:t>
      </w:r>
    </w:p>
    <w:p w14:paraId="154A81B9" w14:textId="77777777" w:rsidR="00610266" w:rsidRPr="003836A1" w:rsidRDefault="00F95AB8" w:rsidP="003836A1">
      <w:pPr>
        <w:widowControl/>
        <w:shd w:val="clear" w:color="auto" w:fill="FFFFFF"/>
        <w:ind w:left="851" w:right="571"/>
        <w:jc w:val="both"/>
        <w:rPr>
          <w:rFonts w:ascii="Arial" w:eastAsia="Arial" w:hAnsi="Arial" w:cs="Arial"/>
          <w:i/>
        </w:rPr>
      </w:pPr>
      <w:r w:rsidRPr="003836A1">
        <w:rPr>
          <w:rFonts w:ascii="Arial" w:eastAsia="Arial" w:hAnsi="Arial" w:cs="Arial"/>
          <w:i/>
        </w:rPr>
        <w:t> </w:t>
      </w:r>
    </w:p>
    <w:p w14:paraId="154A81BA" w14:textId="77777777" w:rsidR="00610266" w:rsidRPr="003836A1" w:rsidRDefault="00F95AB8" w:rsidP="003836A1">
      <w:pPr>
        <w:widowControl/>
        <w:shd w:val="clear" w:color="auto" w:fill="FFFFFF"/>
        <w:ind w:left="851" w:right="571"/>
        <w:jc w:val="center"/>
        <w:rPr>
          <w:rFonts w:ascii="Arial" w:eastAsia="Arial" w:hAnsi="Arial" w:cs="Arial"/>
          <w:i/>
        </w:rPr>
      </w:pPr>
      <w:r w:rsidRPr="003836A1">
        <w:rPr>
          <w:rFonts w:ascii="Arial" w:eastAsia="Arial" w:hAnsi="Arial" w:cs="Arial"/>
          <w:i/>
          <w:noProof/>
          <w:lang w:val="es-419" w:eastAsia="es-419"/>
        </w:rPr>
        <w:drawing>
          <wp:inline distT="0" distB="0" distL="0" distR="0" wp14:anchorId="154A823B" wp14:editId="154A823C">
            <wp:extent cx="4286250" cy="1962150"/>
            <wp:effectExtent l="12700" t="12700" r="12700" b="12700"/>
            <wp:docPr id="2" name="image2.png" descr="https://www.corteconstitucional.gov.co/Relatoria/2023/C-127-23_archivos/image002.png"/>
            <wp:cNvGraphicFramePr/>
            <a:graphic xmlns:a="http://schemas.openxmlformats.org/drawingml/2006/main">
              <a:graphicData uri="http://schemas.openxmlformats.org/drawingml/2006/picture">
                <pic:pic xmlns:pic="http://schemas.openxmlformats.org/drawingml/2006/picture">
                  <pic:nvPicPr>
                    <pic:cNvPr id="0" name="image2.png" descr="https://www.corteconstitucional.gov.co/Relatoria/2023/C-127-23_archivos/image002.png"/>
                    <pic:cNvPicPr preferRelativeResize="0"/>
                  </pic:nvPicPr>
                  <pic:blipFill>
                    <a:blip r:embed="rId114"/>
                    <a:srcRect/>
                    <a:stretch>
                      <a:fillRect/>
                    </a:stretch>
                  </pic:blipFill>
                  <pic:spPr>
                    <a:xfrm>
                      <a:off x="0" y="0"/>
                      <a:ext cx="4286250" cy="1962150"/>
                    </a:xfrm>
                    <a:prstGeom prst="rect">
                      <a:avLst/>
                    </a:prstGeom>
                    <a:ln w="12700">
                      <a:solidFill>
                        <a:srgbClr val="000000"/>
                      </a:solidFill>
                      <a:prstDash val="solid"/>
                    </a:ln>
                  </pic:spPr>
                </pic:pic>
              </a:graphicData>
            </a:graphic>
          </wp:inline>
        </w:drawing>
      </w:r>
    </w:p>
    <w:p w14:paraId="154A81BB" w14:textId="77777777" w:rsidR="00610266" w:rsidRPr="003836A1" w:rsidRDefault="00610266" w:rsidP="003836A1">
      <w:pPr>
        <w:widowControl/>
        <w:shd w:val="clear" w:color="auto" w:fill="FFFFFF"/>
        <w:ind w:left="851" w:right="571"/>
        <w:jc w:val="both"/>
        <w:rPr>
          <w:rFonts w:ascii="Arial" w:eastAsia="Arial" w:hAnsi="Arial" w:cs="Arial"/>
          <w:i/>
        </w:rPr>
      </w:pPr>
    </w:p>
    <w:p w14:paraId="154A81BC" w14:textId="77777777" w:rsidR="00610266" w:rsidRPr="003836A1" w:rsidRDefault="00F95AB8" w:rsidP="003836A1">
      <w:pPr>
        <w:widowControl/>
        <w:shd w:val="clear" w:color="auto" w:fill="FFFFFF"/>
        <w:ind w:left="851" w:right="571"/>
        <w:jc w:val="both"/>
        <w:rPr>
          <w:rFonts w:ascii="Arial" w:eastAsia="Arial" w:hAnsi="Arial" w:cs="Arial"/>
          <w:i/>
        </w:rPr>
      </w:pPr>
      <w:r w:rsidRPr="003836A1">
        <w:rPr>
          <w:rFonts w:ascii="Arial" w:eastAsia="Arial" w:hAnsi="Arial" w:cs="Arial"/>
          <w:i/>
        </w:rPr>
        <w:t>De esta forma, precisó que las localidades que concentran el 60% de las medidas correctivas por transgredir los artículos 140.13 y 140.14 de la Ley 1801 de 2016 son: Bosa, Suba, Kennedy, Santa Fe y Rafael Uribe Uribe. Por lo anterior, afirmó que actualmente diseña los lineamientos para una política pública referida a la prevención del consumo y control de la oferta de sustancias psicoactivas legales e ilegales, desde un enfoque de salud pública y de reducción de riesgos y daños, con el fin de eliminar la estigmatización social al consumidor habitual de aquellas sustancias.</w:t>
      </w:r>
    </w:p>
    <w:p w14:paraId="154A81BD" w14:textId="77777777" w:rsidR="00610266" w:rsidRPr="003836A1" w:rsidRDefault="00F95AB8" w:rsidP="003836A1">
      <w:pPr>
        <w:widowControl/>
        <w:shd w:val="clear" w:color="auto" w:fill="FFFFFF"/>
        <w:ind w:left="851" w:right="571"/>
        <w:jc w:val="both"/>
        <w:rPr>
          <w:rFonts w:ascii="Arial" w:eastAsia="Arial" w:hAnsi="Arial" w:cs="Arial"/>
          <w:i/>
        </w:rPr>
      </w:pPr>
      <w:r w:rsidRPr="003836A1">
        <w:rPr>
          <w:rFonts w:ascii="Arial" w:eastAsia="Arial" w:hAnsi="Arial" w:cs="Arial"/>
          <w:i/>
        </w:rPr>
        <w:t> </w:t>
      </w:r>
    </w:p>
    <w:p w14:paraId="154A81BE" w14:textId="77777777" w:rsidR="00610266" w:rsidRPr="003836A1" w:rsidRDefault="00F95AB8" w:rsidP="003836A1">
      <w:pPr>
        <w:widowControl/>
        <w:shd w:val="clear" w:color="auto" w:fill="FFFFFF"/>
        <w:ind w:left="851" w:right="571"/>
        <w:jc w:val="both"/>
        <w:rPr>
          <w:rFonts w:ascii="Arial" w:eastAsia="Arial" w:hAnsi="Arial" w:cs="Arial"/>
          <w:i/>
        </w:rPr>
      </w:pPr>
      <w:bookmarkStart w:id="24" w:name="_heading=h.2xcytpi" w:colFirst="0" w:colLast="0"/>
      <w:bookmarkEnd w:id="24"/>
      <w:r w:rsidRPr="003836A1">
        <w:rPr>
          <w:rFonts w:ascii="Arial" w:eastAsia="Arial" w:hAnsi="Arial" w:cs="Arial"/>
          <w:i/>
        </w:rPr>
        <w:t>De otro lado, expresó que las normas acusadas no vulneran el libre desarrollo de la personalidad y la dignidad humana. Bajo esa perspectiva, manifestó que las medidas contenidas en las normas examinadas son necesarias para mantener y conservar el orden público. Así, el consumo indiscriminado y poco informado de sustancias psicoactivas en estos espacios atenta contra la integridad física de los menores de edad, porque estos lugares son visitados frecuentemente por ellos. A su juicio, estos mecanismos no pueden ser sustituidos por otros menos gravosos que permitan obtener el mismo resultado, pues los niños deben ser protegidos del consumo de sustancias psicoactivas</w:t>
      </w:r>
      <w:hyperlink r:id="rId115" w:anchor="_ftn55">
        <w:r w:rsidRPr="003836A1">
          <w:rPr>
            <w:rFonts w:ascii="Arial" w:eastAsia="Arial" w:hAnsi="Arial" w:cs="Arial"/>
            <w:i/>
            <w:u w:val="single"/>
            <w:vertAlign w:val="superscript"/>
          </w:rPr>
          <w:t>[55]</w:t>
        </w:r>
      </w:hyperlink>
      <w:r w:rsidRPr="003836A1">
        <w:rPr>
          <w:rFonts w:ascii="Arial" w:eastAsia="Arial" w:hAnsi="Arial" w:cs="Arial"/>
          <w:i/>
        </w:rPr>
        <w:t>. De allí que, la norma busca conseguir unos fines constitucionalmente válidos, sin que ello implique desconocer las libertades de las personas, como lo entienden los demandantes. Además, sostuvo que el porte, con ánimo de consumo, atenta contra la convivencia de las personas y pueden afectar la seguridad de la ciudadanía, porque la mayor parte de esas sustancias producen una alteración del comportamiento en quienes las consumen. Esto conlleva a que el consumidor realice actividades riesgosas para la comunidad. En consecuencia, habría una limitación al uso, goce y disfrute del espacio público.</w:t>
      </w:r>
    </w:p>
    <w:p w14:paraId="154A81BF" w14:textId="77777777" w:rsidR="00610266" w:rsidRPr="003836A1" w:rsidRDefault="00F95AB8" w:rsidP="003836A1">
      <w:pPr>
        <w:widowControl/>
        <w:shd w:val="clear" w:color="auto" w:fill="FFFFFF"/>
        <w:ind w:left="851" w:right="571"/>
        <w:jc w:val="both"/>
        <w:rPr>
          <w:rFonts w:ascii="Arial" w:eastAsia="Arial" w:hAnsi="Arial" w:cs="Arial"/>
          <w:i/>
        </w:rPr>
      </w:pPr>
      <w:r w:rsidRPr="003836A1">
        <w:rPr>
          <w:rFonts w:ascii="Arial" w:eastAsia="Arial" w:hAnsi="Arial" w:cs="Arial"/>
          <w:i/>
        </w:rPr>
        <w:t> </w:t>
      </w:r>
    </w:p>
    <w:p w14:paraId="154A81C0" w14:textId="77777777" w:rsidR="00610266" w:rsidRPr="003836A1" w:rsidRDefault="00F95AB8" w:rsidP="003836A1">
      <w:pPr>
        <w:widowControl/>
        <w:shd w:val="clear" w:color="auto" w:fill="FFFFFF"/>
        <w:ind w:left="851" w:right="571"/>
        <w:jc w:val="both"/>
        <w:rPr>
          <w:rFonts w:ascii="Arial" w:eastAsia="Arial" w:hAnsi="Arial" w:cs="Arial"/>
          <w:i/>
        </w:rPr>
      </w:pPr>
      <w:bookmarkStart w:id="25" w:name="_heading=h.1ci93xb" w:colFirst="0" w:colLast="0"/>
      <w:bookmarkEnd w:id="25"/>
      <w:r w:rsidRPr="003836A1">
        <w:rPr>
          <w:rFonts w:ascii="Arial" w:eastAsia="Arial" w:hAnsi="Arial" w:cs="Arial"/>
          <w:i/>
        </w:rPr>
        <w:t>Por lo anterior, planteó un juicio de proporcionalidad para determinar la legitimidad de la medida en relación con el libre desarrollo de la personalidad</w:t>
      </w:r>
      <w:hyperlink r:id="rId116" w:anchor="_ftn56">
        <w:r w:rsidRPr="003836A1">
          <w:rPr>
            <w:rFonts w:ascii="Arial" w:eastAsia="Arial" w:hAnsi="Arial" w:cs="Arial"/>
            <w:i/>
            <w:u w:val="single"/>
            <w:vertAlign w:val="superscript"/>
          </w:rPr>
          <w:t>[56]</w:t>
        </w:r>
      </w:hyperlink>
      <w:r w:rsidRPr="003836A1">
        <w:rPr>
          <w:rFonts w:ascii="Arial" w:eastAsia="Arial" w:hAnsi="Arial" w:cs="Arial"/>
          <w:i/>
        </w:rPr>
        <w:t>. Al respecto, concluyó que: (i) la finalidad de la restricción es hacer efectivos los derechos a la seguridad ciudadana y la convivencia armónica, entre otros; (ii) la limitación del porte de sustancias psicoactivas es una herramienta adecuada, pertinente y necesaria para precaver la afectación de los bienes jurídicos de terceros; (iii) no existen otras herramientas con el mismo grado de eficacia; y (iv) la limitación es proporcionada porque está referida únicamente a los espacios públicos mencionados en la norma. En consecuencia, las personas pueden ejercer su autonomía y autodeterminación en los ámbitos privados donde no hay una afectación a derechos de terceros. Además, las normas acusadas buscan proteger las garantías superiores de los menores de edad, los cuales prevalecen sobre los de los demás</w:t>
      </w:r>
      <w:hyperlink r:id="rId117" w:anchor="_ftn57">
        <w:r w:rsidRPr="003836A1">
          <w:rPr>
            <w:rFonts w:ascii="Arial" w:eastAsia="Arial" w:hAnsi="Arial" w:cs="Arial"/>
            <w:i/>
            <w:u w:val="single"/>
            <w:vertAlign w:val="superscript"/>
          </w:rPr>
          <w:t>[57]</w:t>
        </w:r>
      </w:hyperlink>
      <w:r w:rsidRPr="003836A1">
        <w:rPr>
          <w:rFonts w:ascii="Arial" w:eastAsia="Arial" w:hAnsi="Arial" w:cs="Arial"/>
          <w:i/>
        </w:rPr>
        <w:t>.</w:t>
      </w:r>
    </w:p>
    <w:p w14:paraId="154A81C1" w14:textId="77777777" w:rsidR="00610266" w:rsidRPr="003836A1" w:rsidRDefault="00F95AB8" w:rsidP="003836A1">
      <w:pPr>
        <w:widowControl/>
        <w:shd w:val="clear" w:color="auto" w:fill="FFFFFF"/>
        <w:ind w:left="851" w:right="571"/>
        <w:jc w:val="both"/>
        <w:rPr>
          <w:rFonts w:ascii="Arial" w:eastAsia="Arial" w:hAnsi="Arial" w:cs="Arial"/>
          <w:i/>
        </w:rPr>
      </w:pPr>
      <w:r w:rsidRPr="003836A1">
        <w:rPr>
          <w:rFonts w:ascii="Arial" w:eastAsia="Arial" w:hAnsi="Arial" w:cs="Arial"/>
          <w:i/>
        </w:rPr>
        <w:t> </w:t>
      </w:r>
    </w:p>
    <w:p w14:paraId="154A81C2" w14:textId="77777777" w:rsidR="00610266" w:rsidRPr="003836A1" w:rsidRDefault="00F95AB8" w:rsidP="003836A1">
      <w:pPr>
        <w:widowControl/>
        <w:shd w:val="clear" w:color="auto" w:fill="FFFFFF"/>
        <w:ind w:left="851" w:right="571"/>
        <w:jc w:val="both"/>
        <w:rPr>
          <w:rFonts w:ascii="Arial" w:eastAsia="Arial" w:hAnsi="Arial" w:cs="Arial"/>
          <w:i/>
        </w:rPr>
      </w:pPr>
      <w:bookmarkStart w:id="26" w:name="_heading=h.3whwml4" w:colFirst="0" w:colLast="0"/>
      <w:bookmarkEnd w:id="26"/>
      <w:r w:rsidRPr="003836A1">
        <w:rPr>
          <w:rFonts w:ascii="Arial" w:eastAsia="Arial" w:hAnsi="Arial" w:cs="Arial"/>
          <w:i/>
        </w:rPr>
        <w:t>En relación con la posible afectación al derecho a la salud, la interviniente recordó la Sentencia C-221 de 1994</w:t>
      </w:r>
      <w:hyperlink r:id="rId118" w:anchor="_ftn58">
        <w:r w:rsidRPr="003836A1">
          <w:rPr>
            <w:rFonts w:ascii="Arial" w:eastAsia="Arial" w:hAnsi="Arial" w:cs="Arial"/>
            <w:i/>
            <w:u w:val="single"/>
            <w:vertAlign w:val="superscript"/>
          </w:rPr>
          <w:t>[58]</w:t>
        </w:r>
      </w:hyperlink>
      <w:r w:rsidRPr="003836A1">
        <w:rPr>
          <w:rFonts w:ascii="Arial" w:eastAsia="Arial" w:hAnsi="Arial" w:cs="Arial"/>
          <w:i/>
        </w:rPr>
        <w:t> y el Acto Legislativo 02 de 2009. Concluyó que, desde el ámbito policivo, la norma promueve el desincentivo del consumo de sustancias psicoactivas</w:t>
      </w:r>
      <w:hyperlink r:id="rId119" w:anchor="_ftn59">
        <w:r w:rsidRPr="003836A1">
          <w:rPr>
            <w:rFonts w:ascii="Arial" w:eastAsia="Arial" w:hAnsi="Arial" w:cs="Arial"/>
            <w:i/>
            <w:u w:val="single"/>
            <w:vertAlign w:val="superscript"/>
          </w:rPr>
          <w:t>[59]</w:t>
        </w:r>
      </w:hyperlink>
      <w:r w:rsidRPr="003836A1">
        <w:rPr>
          <w:rFonts w:ascii="Arial" w:eastAsia="Arial" w:hAnsi="Arial" w:cs="Arial"/>
          <w:i/>
        </w:rPr>
        <w:t>. En su criterio, la conducta de porte y consumo de la dosis mínima “no es un acto aislado o indiferente al interés de la sociedad, sino que en razón a las comprobadas y graves consecuencias que implica no solo para la integridad física del consumidor sino para la salud concebida como derecho fundamental de todos los miembros de la sociedad, se hace necesario que la ley […] prohíba comportamientos como el porte de dosis mínimas y consumo asociado a esa conducta inicial de transporte, cuando pretenda desplegarse en parques y zonas que trascienden a lo público”</w:t>
      </w:r>
      <w:hyperlink r:id="rId120" w:anchor="_ftn60">
        <w:r w:rsidRPr="003836A1">
          <w:rPr>
            <w:rFonts w:ascii="Arial" w:eastAsia="Arial" w:hAnsi="Arial" w:cs="Arial"/>
            <w:b/>
            <w:i/>
            <w:u w:val="single"/>
            <w:vertAlign w:val="superscript"/>
          </w:rPr>
          <w:t>[60]</w:t>
        </w:r>
      </w:hyperlink>
      <w:r w:rsidRPr="003836A1">
        <w:rPr>
          <w:rFonts w:ascii="Arial" w:eastAsia="Arial" w:hAnsi="Arial" w:cs="Arial"/>
          <w:i/>
        </w:rPr>
        <w:t>.”</w:t>
      </w:r>
    </w:p>
    <w:p w14:paraId="154A81C3" w14:textId="77777777" w:rsidR="00610266" w:rsidRPr="003836A1" w:rsidRDefault="00610266" w:rsidP="003836A1">
      <w:pPr>
        <w:shd w:val="clear" w:color="auto" w:fill="FFFFFF"/>
        <w:jc w:val="both"/>
        <w:rPr>
          <w:rFonts w:ascii="Arial" w:eastAsia="Arial" w:hAnsi="Arial" w:cs="Arial"/>
          <w:i/>
        </w:rPr>
      </w:pPr>
    </w:p>
    <w:p w14:paraId="154A81C4" w14:textId="77777777" w:rsidR="00610266" w:rsidRPr="003836A1" w:rsidRDefault="00F95AB8" w:rsidP="003836A1">
      <w:pPr>
        <w:shd w:val="clear" w:color="auto" w:fill="FFFFFF"/>
        <w:ind w:left="851" w:right="571"/>
        <w:jc w:val="both"/>
        <w:rPr>
          <w:rFonts w:ascii="Arial" w:eastAsia="Arial" w:hAnsi="Arial" w:cs="Arial"/>
          <w:i/>
          <w:highlight w:val="white"/>
        </w:rPr>
      </w:pPr>
      <w:bookmarkStart w:id="27" w:name="_heading=h.2bn6wsx" w:colFirst="0" w:colLast="0"/>
      <w:bookmarkEnd w:id="27"/>
      <w:r w:rsidRPr="003836A1">
        <w:rPr>
          <w:rFonts w:ascii="Arial" w:eastAsia="Arial" w:hAnsi="Arial" w:cs="Arial"/>
          <w:b/>
          <w:i/>
          <w:highlight w:val="white"/>
        </w:rPr>
        <w:t>“(…) 11. Instituto Colombiano de Bienestar Familiar. </w:t>
      </w:r>
      <w:r w:rsidRPr="003836A1">
        <w:rPr>
          <w:rFonts w:ascii="Arial" w:eastAsia="Arial" w:hAnsi="Arial" w:cs="Arial"/>
          <w:i/>
          <w:highlight w:val="white"/>
        </w:rPr>
        <w:t>La entidad solicitó a la Corte declarar la </w:t>
      </w:r>
      <w:r w:rsidRPr="003836A1">
        <w:rPr>
          <w:rFonts w:ascii="Arial" w:eastAsia="Arial" w:hAnsi="Arial" w:cs="Arial"/>
          <w:b/>
          <w:i/>
          <w:highlight w:val="white"/>
        </w:rPr>
        <w:t>EXEQUIBILIDAD </w:t>
      </w:r>
      <w:r w:rsidRPr="003836A1">
        <w:rPr>
          <w:rFonts w:ascii="Arial" w:eastAsia="Arial" w:hAnsi="Arial" w:cs="Arial"/>
          <w:i/>
          <w:highlight w:val="white"/>
        </w:rPr>
        <w:t>de los preceptos acusados. Sostuvo que estas normas tienen como finalidad la protección de los derechos de los menores de edad, pues los lugares mencionados en aquellas son frecuentemente visitados por este grupo poblacional. En tal sentido, aseguró que no es cierto que las normas no persigan fines constitucionalmente válidos. De otro lado, hizo referencia al sesgo de la disponibilidad. Aquel consiste en la tendencia cognitiva que hace que las personas crean que un evento fácilmente recordable es de común ocurrencia. A su modo de ver, esto es relevante para el asunto bajo examen, pues es necesario, razonable y proporcionado alejar el fenómeno del porte y consumo de sustancias psicoactivas del contexto de los menores de edad. En concreto, porque según el DANE, para la mitad de la población es “fácil” conseguir marihuana y para un tercio es “fácil” adquirir cocaína y bazuco. Por último, expresó que las normas acusadas no tienen un carácter coercitivo, sino que configuran un mensaje de desestímulo a estas acciones. Lo expuesto, porque los menores de edad reciben un mensaje simbólico y pedagógico “a través de programas institucionales de prevención, como la estrategia Escuelas saludables, las Zonas de orientación escolar, entre otros”</w:t>
      </w:r>
      <w:hyperlink r:id="rId121" w:anchor="_ftn64">
        <w:r w:rsidRPr="003836A1">
          <w:rPr>
            <w:rFonts w:ascii="Arial" w:eastAsia="Arial" w:hAnsi="Arial" w:cs="Arial"/>
            <w:b/>
            <w:i/>
            <w:highlight w:val="white"/>
            <w:u w:val="single"/>
            <w:vertAlign w:val="superscript"/>
          </w:rPr>
          <w:t>[64]</w:t>
        </w:r>
      </w:hyperlink>
      <w:r w:rsidRPr="003836A1">
        <w:rPr>
          <w:rFonts w:ascii="Arial" w:eastAsia="Arial" w:hAnsi="Arial" w:cs="Arial"/>
          <w:i/>
          <w:highlight w:val="white"/>
        </w:rPr>
        <w:t>.”</w:t>
      </w:r>
    </w:p>
    <w:p w14:paraId="154A81C5" w14:textId="77777777" w:rsidR="00610266" w:rsidRPr="003836A1" w:rsidRDefault="00610266" w:rsidP="003836A1">
      <w:pPr>
        <w:shd w:val="clear" w:color="auto" w:fill="FFFFFF"/>
        <w:jc w:val="both"/>
        <w:rPr>
          <w:rFonts w:ascii="Arial" w:eastAsia="Arial" w:hAnsi="Arial" w:cs="Arial"/>
          <w:highlight w:val="white"/>
        </w:rPr>
      </w:pPr>
    </w:p>
    <w:p w14:paraId="154A81C6" w14:textId="77777777" w:rsidR="00610266" w:rsidRPr="003836A1" w:rsidRDefault="00F95AB8" w:rsidP="003836A1">
      <w:pPr>
        <w:shd w:val="clear" w:color="auto" w:fill="FFFFFF"/>
        <w:jc w:val="both"/>
        <w:rPr>
          <w:rFonts w:ascii="Arial" w:eastAsia="Arial" w:hAnsi="Arial" w:cs="Arial"/>
          <w:highlight w:val="white"/>
        </w:rPr>
      </w:pPr>
      <w:r w:rsidRPr="003836A1">
        <w:rPr>
          <w:rFonts w:ascii="Arial" w:eastAsia="Arial" w:hAnsi="Arial" w:cs="Arial"/>
          <w:highlight w:val="white"/>
        </w:rPr>
        <w:t>Y destacar apartes de los análisis realizados por la Corte, donde podemos ver por ejemplo que respecto a la vocación del Código Nacional de Seguridad y Convivencia Ciudadana que:</w:t>
      </w:r>
    </w:p>
    <w:p w14:paraId="154A81C7" w14:textId="77777777" w:rsidR="00610266" w:rsidRPr="003836A1" w:rsidRDefault="00610266" w:rsidP="003836A1">
      <w:pPr>
        <w:shd w:val="clear" w:color="auto" w:fill="FFFFFF"/>
        <w:jc w:val="both"/>
        <w:rPr>
          <w:rFonts w:ascii="Arial" w:eastAsia="Arial" w:hAnsi="Arial" w:cs="Arial"/>
          <w:highlight w:val="white"/>
        </w:rPr>
      </w:pPr>
    </w:p>
    <w:p w14:paraId="154A81C8" w14:textId="77777777" w:rsidR="00610266" w:rsidRPr="003836A1" w:rsidRDefault="00F95AB8" w:rsidP="003836A1">
      <w:pPr>
        <w:widowControl/>
        <w:shd w:val="clear" w:color="auto" w:fill="FFFFFF"/>
        <w:ind w:left="851" w:right="571"/>
        <w:jc w:val="both"/>
        <w:rPr>
          <w:rFonts w:ascii="Arial" w:eastAsia="Arial" w:hAnsi="Arial" w:cs="Arial"/>
          <w:i/>
        </w:rPr>
      </w:pPr>
      <w:bookmarkStart w:id="28" w:name="_heading=h.qsh70q" w:colFirst="0" w:colLast="0"/>
      <w:bookmarkEnd w:id="28"/>
      <w:r w:rsidRPr="003836A1">
        <w:rPr>
          <w:rFonts w:ascii="Arial" w:eastAsia="Arial" w:hAnsi="Arial" w:cs="Arial"/>
          <w:i/>
        </w:rPr>
        <w:t>“(…) 65. Las disposiciones acusadas hacen parte del Código Nacional de Seguridad y Convivencia Ciudadana</w:t>
      </w:r>
      <w:hyperlink r:id="rId122" w:anchor="_ftn106">
        <w:r w:rsidRPr="003836A1">
          <w:rPr>
            <w:rFonts w:ascii="Arial" w:eastAsia="Arial" w:hAnsi="Arial" w:cs="Arial"/>
            <w:i/>
            <w:u w:val="single"/>
            <w:vertAlign w:val="superscript"/>
          </w:rPr>
          <w:t>[106]</w:t>
        </w:r>
      </w:hyperlink>
      <w:r w:rsidRPr="003836A1">
        <w:rPr>
          <w:rFonts w:ascii="Arial" w:eastAsia="Arial" w:hAnsi="Arial" w:cs="Arial"/>
          <w:i/>
        </w:rPr>
        <w:t>. Esta Corporación ha señalado lo siguiente respecto a dicha normativa: i) sus disposiciones son de carácter preventivo; ii) su finalidad es establecer condiciones para la convivencia y propiciar el cumplimiento de los deberes y obligaciones de las personas. Lo anterior, mediante la interacción pacífica, respetuosa y armónica entre las personas con los bienes y el medio ambiente, todo, en el marco del ordenamiento jurídico</w:t>
      </w:r>
      <w:hyperlink r:id="rId123" w:anchor="_ftn107">
        <w:r w:rsidRPr="003836A1">
          <w:rPr>
            <w:rFonts w:ascii="Arial" w:eastAsia="Arial" w:hAnsi="Arial" w:cs="Arial"/>
            <w:i/>
            <w:u w:val="single"/>
            <w:vertAlign w:val="superscript"/>
          </w:rPr>
          <w:t>[107]</w:t>
        </w:r>
      </w:hyperlink>
      <w:r w:rsidRPr="003836A1">
        <w:rPr>
          <w:rFonts w:ascii="Arial" w:eastAsia="Arial" w:hAnsi="Arial" w:cs="Arial"/>
          <w:i/>
        </w:rPr>
        <w:t>; y iii) la convivencia se desarrolla a través de la seguridad, la tranquilidad, el ambiente y la salud pública. Tal convivencia debe ser armónica y social, garantizar la vida y la dignidad humana, los derechos humanos, la prevalencia de los derechos de los niños, niñas y adolescentes-NNA, el reconocimiento y respeto de las diferencias culturales, la autonomía e identidad regional, la diversidad y la no discriminación. También, debe aplicar la garantía de los principios de proporcionalidad, razonabilidad y necesidad. En otras palabras, propende porque todas las personas quepan en el espacio público y no se anulen intereses colectivos ni personales.”</w:t>
      </w:r>
    </w:p>
    <w:p w14:paraId="154A81C9" w14:textId="77777777" w:rsidR="00610266" w:rsidRPr="003836A1" w:rsidRDefault="00610266" w:rsidP="003836A1">
      <w:pPr>
        <w:widowControl/>
        <w:shd w:val="clear" w:color="auto" w:fill="FFFFFF"/>
        <w:jc w:val="both"/>
        <w:rPr>
          <w:rFonts w:ascii="Arial" w:eastAsia="Arial" w:hAnsi="Arial" w:cs="Arial"/>
        </w:rPr>
      </w:pPr>
    </w:p>
    <w:p w14:paraId="154A81CA" w14:textId="77777777" w:rsidR="00610266" w:rsidRPr="003836A1" w:rsidRDefault="00F95AB8" w:rsidP="003836A1">
      <w:pPr>
        <w:widowControl/>
        <w:shd w:val="clear" w:color="auto" w:fill="FFFFFF"/>
        <w:jc w:val="both"/>
        <w:rPr>
          <w:rFonts w:ascii="Arial" w:eastAsia="Arial" w:hAnsi="Arial" w:cs="Arial"/>
        </w:rPr>
      </w:pPr>
      <w:r w:rsidRPr="003836A1">
        <w:rPr>
          <w:rFonts w:ascii="Arial" w:eastAsia="Arial" w:hAnsi="Arial" w:cs="Arial"/>
        </w:rPr>
        <w:t>Y tal vez una de las cosas que más puede enriquecer la discusión y que hace parte de la presente iniciativa, es cómo abordó el “principio de protección o precaución” del menor de edad ante riesgos prohibidos como el consumo de sustancias psicoactivas. Allí se realza la importancia de tener como punto de partida la existencia de un interés superior que debe cobijar a los niños, niñas y adolescentes ante circunstancias nocivas que puedan poner en riesgo sus garantías superiores.</w:t>
      </w:r>
    </w:p>
    <w:p w14:paraId="154A81CB" w14:textId="77777777" w:rsidR="00610266" w:rsidRPr="003836A1" w:rsidRDefault="00F95AB8" w:rsidP="003836A1">
      <w:pPr>
        <w:widowControl/>
        <w:shd w:val="clear" w:color="auto" w:fill="FFFFFF"/>
        <w:jc w:val="both"/>
        <w:rPr>
          <w:rFonts w:ascii="Arial" w:eastAsia="Times New Roman" w:hAnsi="Arial" w:cs="Arial"/>
        </w:rPr>
      </w:pPr>
      <w:r w:rsidRPr="003836A1">
        <w:rPr>
          <w:rFonts w:ascii="Arial" w:eastAsia="Times New Roman" w:hAnsi="Arial" w:cs="Arial"/>
        </w:rPr>
        <w:t> </w:t>
      </w:r>
    </w:p>
    <w:p w14:paraId="154A81CC" w14:textId="77777777" w:rsidR="00610266" w:rsidRPr="003836A1" w:rsidRDefault="00F95AB8" w:rsidP="003836A1">
      <w:pPr>
        <w:shd w:val="clear" w:color="auto" w:fill="FFFFFF"/>
        <w:jc w:val="both"/>
        <w:rPr>
          <w:rFonts w:ascii="Arial" w:eastAsia="Arial" w:hAnsi="Arial" w:cs="Arial"/>
          <w:highlight w:val="white"/>
        </w:rPr>
      </w:pPr>
      <w:r w:rsidRPr="003836A1">
        <w:rPr>
          <w:rFonts w:ascii="Arial" w:eastAsia="Arial" w:hAnsi="Arial" w:cs="Arial"/>
          <w:highlight w:val="white"/>
        </w:rPr>
        <w:t>En palabras de la Corte en su Sentencia C292-2004:</w:t>
      </w:r>
    </w:p>
    <w:p w14:paraId="154A81CD" w14:textId="77777777" w:rsidR="00610266" w:rsidRPr="003836A1" w:rsidRDefault="00610266" w:rsidP="003836A1">
      <w:pPr>
        <w:shd w:val="clear" w:color="auto" w:fill="FFFFFF"/>
        <w:jc w:val="both"/>
        <w:rPr>
          <w:rFonts w:ascii="Arial" w:eastAsia="Arial" w:hAnsi="Arial" w:cs="Arial"/>
          <w:highlight w:val="white"/>
        </w:rPr>
      </w:pPr>
    </w:p>
    <w:p w14:paraId="154A81CE" w14:textId="77777777" w:rsidR="00610266" w:rsidRPr="003836A1" w:rsidRDefault="00F95AB8" w:rsidP="003836A1">
      <w:pPr>
        <w:shd w:val="clear" w:color="auto" w:fill="FFFFFF"/>
        <w:ind w:left="851" w:right="571"/>
        <w:jc w:val="both"/>
        <w:rPr>
          <w:rFonts w:ascii="Arial" w:eastAsia="Arial" w:hAnsi="Arial" w:cs="Arial"/>
          <w:i/>
          <w:highlight w:val="white"/>
        </w:rPr>
      </w:pPr>
      <w:r w:rsidRPr="003836A1">
        <w:rPr>
          <w:rFonts w:ascii="Arial" w:eastAsia="Arial" w:hAnsi="Arial" w:cs="Arial"/>
          <w:i/>
          <w:highlight w:val="white"/>
        </w:rPr>
        <w:t>“(…) En cumplimiento de los mandatos constitucionales e internacionales citados anteriormente</w:t>
      </w:r>
      <w:r w:rsidRPr="003836A1">
        <w:rPr>
          <w:rFonts w:ascii="Arial" w:eastAsia="Arial" w:hAnsi="Arial" w:cs="Arial"/>
          <w:b/>
          <w:i/>
          <w:highlight w:val="white"/>
          <w:u w:val="single"/>
        </w:rPr>
        <w:t>, es imperativo resguardar a los menores de edad de todo tipo de riesgos prohibidos que puedan amenazar o perturbar su integridad y su proceso de desarrollo armónico</w:t>
      </w:r>
      <w:r w:rsidRPr="003836A1">
        <w:rPr>
          <w:rFonts w:ascii="Arial" w:eastAsia="Arial" w:hAnsi="Arial" w:cs="Arial"/>
          <w:i/>
          <w:highlight w:val="white"/>
        </w:rPr>
        <w:t>. Dentro de la categoría “riesgos prohibidos” se encuentran varios tipos de situaciones </w:t>
      </w:r>
      <w:r w:rsidRPr="003836A1">
        <w:rPr>
          <w:rFonts w:ascii="Arial" w:eastAsia="Arial" w:hAnsi="Arial" w:cs="Arial"/>
          <w:b/>
          <w:i/>
          <w:highlight w:val="white"/>
          <w:u w:val="single"/>
        </w:rPr>
        <w:t>que deben ser evitadas o suprimidas a toda costa para proteger a los niños involucrados, tanto por parte de las autoridades competentes como por la familia y la sociedad</w:t>
      </w:r>
      <w:r w:rsidRPr="003836A1">
        <w:rPr>
          <w:rFonts w:ascii="Arial" w:eastAsia="Arial" w:hAnsi="Arial" w:cs="Arial"/>
          <w:i/>
          <w:highlight w:val="white"/>
        </w:rPr>
        <w:t>. Algunos de estos riesgos prohibidos fueron expresamente previstos por el Constituyente (…) el Código del Menor proporciona una indicación adicional de ciertos riesgos graves que deben ser prevenidos y remediados en todo caso (…) (xx) la adicción a sustancias que produzcan dependencia </w:t>
      </w:r>
      <w:r w:rsidRPr="003836A1">
        <w:rPr>
          <w:rFonts w:ascii="Arial" w:eastAsia="Arial" w:hAnsi="Arial" w:cs="Arial"/>
          <w:b/>
          <w:i/>
          <w:highlight w:val="white"/>
          <w:u w:val="single"/>
        </w:rPr>
        <w:t>o la exposición a caer en la drogadicción</w:t>
      </w:r>
      <w:r w:rsidRPr="003836A1">
        <w:rPr>
          <w:rFonts w:ascii="Arial" w:eastAsia="Arial" w:hAnsi="Arial" w:cs="Arial"/>
          <w:i/>
          <w:highlight w:val="white"/>
        </w:rPr>
        <w:t>, (…) o (xxii) en general, toda “situación especial que atente contra sus derechos o su integridad”. (Énfasis agregado)”</w:t>
      </w:r>
    </w:p>
    <w:p w14:paraId="154A81CF" w14:textId="77777777" w:rsidR="00610266" w:rsidRPr="003836A1" w:rsidRDefault="00610266" w:rsidP="003836A1">
      <w:pPr>
        <w:shd w:val="clear" w:color="auto" w:fill="FFFFFF"/>
        <w:jc w:val="both"/>
        <w:rPr>
          <w:rFonts w:ascii="Arial" w:eastAsia="Arial" w:hAnsi="Arial" w:cs="Arial"/>
        </w:rPr>
      </w:pPr>
    </w:p>
    <w:p w14:paraId="154A81D0" w14:textId="77777777" w:rsidR="00610266" w:rsidRPr="003836A1" w:rsidRDefault="00F95AB8" w:rsidP="003836A1">
      <w:pPr>
        <w:shd w:val="clear" w:color="auto" w:fill="FFFFFF"/>
        <w:jc w:val="both"/>
        <w:rPr>
          <w:rFonts w:ascii="Arial" w:eastAsia="Arial" w:hAnsi="Arial" w:cs="Arial"/>
        </w:rPr>
      </w:pPr>
      <w:r w:rsidRPr="003836A1">
        <w:rPr>
          <w:rFonts w:ascii="Arial" w:eastAsia="Arial" w:hAnsi="Arial" w:cs="Arial"/>
        </w:rPr>
        <w:t>Y es que la importancia de los derechos de los niños, niñas y adolescentes no se quedan así, pues las Naciones Unidas en las Directrices Internacionales sobre Derechos Humanos y Política de Drogas,</w:t>
      </w:r>
      <w:r w:rsidRPr="003836A1">
        <w:rPr>
          <w:rFonts w:ascii="Arial" w:eastAsia="Arial" w:hAnsi="Arial" w:cs="Arial"/>
          <w:vertAlign w:val="superscript"/>
        </w:rPr>
        <w:footnoteReference w:id="2"/>
      </w:r>
      <w:r w:rsidRPr="003836A1">
        <w:rPr>
          <w:rFonts w:ascii="Arial" w:eastAsia="Arial" w:hAnsi="Arial" w:cs="Arial"/>
        </w:rPr>
        <w:t xml:space="preserve">  hizo especial énfasis en que todos los niños debían ser protegidos contra las drogas y la explotación en el tráfico de drogas. Y lo más importante, y es que los Estados deben tener en consideración a la hora de regular cualquier materia que se debe proteger a los menores del uso ilícito de sustancias psicoactivas e impedir la utilización de aquellos en la producción o su tráfico.</w:t>
      </w:r>
    </w:p>
    <w:p w14:paraId="154A81D1" w14:textId="77777777" w:rsidR="00610266" w:rsidRPr="003836A1" w:rsidRDefault="00610266" w:rsidP="003836A1">
      <w:pPr>
        <w:shd w:val="clear" w:color="auto" w:fill="FFFFFF"/>
        <w:jc w:val="both"/>
        <w:rPr>
          <w:rFonts w:ascii="Arial" w:eastAsia="Arial" w:hAnsi="Arial" w:cs="Arial"/>
        </w:rPr>
      </w:pPr>
    </w:p>
    <w:p w14:paraId="154A81D2" w14:textId="77777777" w:rsidR="00610266" w:rsidRPr="003836A1" w:rsidRDefault="00F95AB8" w:rsidP="003836A1">
      <w:pPr>
        <w:shd w:val="clear" w:color="auto" w:fill="FFFFFF"/>
        <w:jc w:val="both"/>
        <w:rPr>
          <w:rFonts w:ascii="Arial" w:eastAsia="Arial" w:hAnsi="Arial" w:cs="Arial"/>
        </w:rPr>
      </w:pPr>
      <w:r w:rsidRPr="003836A1">
        <w:rPr>
          <w:rFonts w:ascii="Arial" w:eastAsia="Arial" w:hAnsi="Arial" w:cs="Arial"/>
        </w:rPr>
        <w:t>Esto sin dejar a un lado que dentro del Estado Colombiano el mismo Ministerio de Salud y Protección Social expidió en su momento la Resolución 089 de 2019, en donde se adoptó la Política Integral para la Prevención y Atención del Consumo de Sustancias Psicoactivas, y dice entre otros importantes aspectos que hay mayor incidencia de incurrir en la conducta cuando interviene alguien consumiendo en sus entornos próximos, así como que existe un riesgo de grandes cambios negativos durante la infancia y adolescencia.</w:t>
      </w:r>
    </w:p>
    <w:p w14:paraId="154A81D3" w14:textId="77777777" w:rsidR="00610266" w:rsidRPr="003836A1" w:rsidRDefault="00610266" w:rsidP="003836A1">
      <w:pPr>
        <w:shd w:val="clear" w:color="auto" w:fill="FFFFFF"/>
        <w:jc w:val="both"/>
        <w:rPr>
          <w:rFonts w:ascii="Arial" w:eastAsia="Arial" w:hAnsi="Arial" w:cs="Arial"/>
        </w:rPr>
      </w:pPr>
    </w:p>
    <w:p w14:paraId="154A81D4" w14:textId="77777777" w:rsidR="00610266" w:rsidRPr="003836A1" w:rsidRDefault="00F95AB8" w:rsidP="003836A1">
      <w:pPr>
        <w:shd w:val="clear" w:color="auto" w:fill="FFFFFF"/>
        <w:jc w:val="both"/>
        <w:rPr>
          <w:rFonts w:ascii="Arial" w:eastAsia="Arial" w:hAnsi="Arial" w:cs="Arial"/>
          <w:i/>
          <w:highlight w:val="white"/>
        </w:rPr>
      </w:pPr>
      <w:r w:rsidRPr="003836A1">
        <w:rPr>
          <w:rFonts w:ascii="Arial" w:eastAsia="Arial" w:hAnsi="Arial" w:cs="Arial"/>
        </w:rPr>
        <w:t xml:space="preserve">Finalizando la sentencia con un resuelve en donde reitera que son exequibles </w:t>
      </w:r>
      <w:r w:rsidRPr="003836A1">
        <w:rPr>
          <w:rFonts w:ascii="Arial" w:eastAsia="Arial" w:hAnsi="Arial" w:cs="Arial"/>
          <w:i/>
        </w:rPr>
        <w:t xml:space="preserve">“(…) </w:t>
      </w:r>
      <w:r w:rsidRPr="003836A1">
        <w:rPr>
          <w:rFonts w:ascii="Arial" w:eastAsia="Arial" w:hAnsi="Arial" w:cs="Arial"/>
          <w:i/>
          <w:highlight w:val="white"/>
        </w:rPr>
        <w:t>las expresiones “consumir”, “sustancias psicoactivas, inclusive la dosis personal”, “y en parques” en el entendido de que la restricción aplica, además, en garantía de los derechos de los niños, niñas y adolescentes, y conforme a la regulación que expidan las autoridades que ejercen poder de policía en todos los niveles, en el ámbito de sus competencias, con base en los principios pro infans, de proporcionalidad, razonabilidad y  autonomía territorial, en los términos de la presente providencia.”</w:t>
      </w:r>
    </w:p>
    <w:p w14:paraId="154A81D5" w14:textId="77777777" w:rsidR="00610266" w:rsidRPr="003836A1" w:rsidRDefault="00610266" w:rsidP="003836A1">
      <w:pPr>
        <w:shd w:val="clear" w:color="auto" w:fill="FFFFFF"/>
        <w:jc w:val="both"/>
        <w:rPr>
          <w:rFonts w:ascii="Arial" w:eastAsia="Arial" w:hAnsi="Arial" w:cs="Arial"/>
          <w:i/>
          <w:highlight w:val="white"/>
        </w:rPr>
      </w:pPr>
    </w:p>
    <w:p w14:paraId="154A81D6" w14:textId="77777777" w:rsidR="00610266" w:rsidRPr="003836A1" w:rsidRDefault="00F95AB8" w:rsidP="003836A1">
      <w:pPr>
        <w:shd w:val="clear" w:color="auto" w:fill="FFFFFF"/>
        <w:jc w:val="both"/>
        <w:rPr>
          <w:rFonts w:ascii="Arial" w:eastAsia="Arial" w:hAnsi="Arial" w:cs="Arial"/>
        </w:rPr>
      </w:pPr>
      <w:r w:rsidRPr="003836A1">
        <w:rPr>
          <w:rFonts w:ascii="Arial" w:eastAsia="Arial" w:hAnsi="Arial" w:cs="Arial"/>
          <w:highlight w:val="white"/>
        </w:rPr>
        <w:t>Así como ordenar al Gobierno Nacional para la creación de un protocolo de aplicación de las normas estudiadas por la Corte,</w:t>
      </w:r>
      <w:r w:rsidR="003C5C39">
        <w:rPr>
          <w:rFonts w:ascii="Arial" w:eastAsia="Arial" w:hAnsi="Arial" w:cs="Arial"/>
          <w:highlight w:val="white"/>
        </w:rPr>
        <w:t xml:space="preserve"> </w:t>
      </w:r>
      <w:r w:rsidRPr="003836A1">
        <w:rPr>
          <w:rFonts w:ascii="Arial" w:eastAsia="Arial" w:hAnsi="Arial" w:cs="Arial"/>
          <w:highlight w:val="white"/>
        </w:rPr>
        <w:t>que como se puede evidenciar en el escenario actual brilla por su ausencia y es por eso que es deber de este Concejo entrar a regular desde su competencia como parte de su poder residual.</w:t>
      </w:r>
    </w:p>
    <w:p w14:paraId="154A81D7" w14:textId="77777777" w:rsidR="00610266" w:rsidRPr="003836A1" w:rsidRDefault="00F95AB8" w:rsidP="003836A1">
      <w:pPr>
        <w:shd w:val="clear" w:color="auto" w:fill="FFFFFF"/>
        <w:jc w:val="both"/>
        <w:rPr>
          <w:rFonts w:ascii="Arial" w:eastAsia="Arial" w:hAnsi="Arial" w:cs="Arial"/>
          <w:i/>
        </w:rPr>
      </w:pPr>
      <w:r w:rsidRPr="003836A1">
        <w:rPr>
          <w:rFonts w:ascii="Arial" w:eastAsia="Arial" w:hAnsi="Arial" w:cs="Arial"/>
          <w:i/>
        </w:rPr>
        <w:t> </w:t>
      </w:r>
    </w:p>
    <w:p w14:paraId="154A81D8" w14:textId="77777777" w:rsidR="00610266" w:rsidRPr="003836A1" w:rsidRDefault="00F95AB8" w:rsidP="003836A1">
      <w:pPr>
        <w:ind w:hanging="11"/>
        <w:jc w:val="both"/>
        <w:rPr>
          <w:rFonts w:ascii="Arial" w:eastAsia="Arial" w:hAnsi="Arial" w:cs="Arial"/>
        </w:rPr>
      </w:pPr>
      <w:r w:rsidRPr="003836A1">
        <w:rPr>
          <w:rFonts w:ascii="Arial" w:eastAsia="Arial" w:hAnsi="Arial" w:cs="Arial"/>
        </w:rPr>
        <w:t>Es entonces como ante la situación actual de incertidumbre que se presenta frente a la necesidad de proteger a los niños, niñas y adolescentes, que la presente iniciativa busca establecer unos lineamientos que permitan que la entidades Distritales en conjunto con las autoridades policivas, tengan un panorama más claro y unos protocolos más coherentes con las necesidades de las familias bogotanas, todo en aras de velar porque los comportamientos que pueden llegar a dañar o vulnerar las personas que son el futuro de nuestro país sean restringidos a espacios personales donde no se conviertan en ejemplos y perjuicios directos para ellos.</w:t>
      </w:r>
    </w:p>
    <w:p w14:paraId="154A81D9" w14:textId="77777777" w:rsidR="00610266" w:rsidRPr="003836A1" w:rsidRDefault="00610266" w:rsidP="003836A1">
      <w:pPr>
        <w:pStyle w:val="Ttulo2"/>
        <w:tabs>
          <w:tab w:val="left" w:pos="404"/>
        </w:tabs>
        <w:ind w:left="404" w:hanging="404"/>
        <w:jc w:val="both"/>
      </w:pPr>
    </w:p>
    <w:p w14:paraId="154A81DA" w14:textId="77777777" w:rsidR="00610266" w:rsidRPr="003836A1" w:rsidRDefault="00F95AB8" w:rsidP="00F525E9">
      <w:pPr>
        <w:pStyle w:val="Ttulo2"/>
        <w:numPr>
          <w:ilvl w:val="0"/>
          <w:numId w:val="17"/>
        </w:numPr>
        <w:tabs>
          <w:tab w:val="left" w:pos="404"/>
        </w:tabs>
        <w:ind w:hanging="285"/>
        <w:jc w:val="both"/>
      </w:pPr>
      <w:r w:rsidRPr="003836A1">
        <w:t>IMPACTO FISCAL</w:t>
      </w:r>
    </w:p>
    <w:p w14:paraId="154A81DB" w14:textId="77777777" w:rsidR="00610266" w:rsidRPr="003836A1" w:rsidRDefault="00610266" w:rsidP="003836A1">
      <w:pPr>
        <w:pBdr>
          <w:top w:val="nil"/>
          <w:left w:val="nil"/>
          <w:bottom w:val="nil"/>
          <w:right w:val="nil"/>
          <w:between w:val="nil"/>
        </w:pBdr>
        <w:rPr>
          <w:rFonts w:ascii="Arial" w:eastAsia="Arial" w:hAnsi="Arial" w:cs="Arial"/>
          <w:b/>
        </w:rPr>
      </w:pPr>
    </w:p>
    <w:p w14:paraId="154A81DC"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El artículo 7 de la Ley 819 de 2003, establece lo siguiente: </w:t>
      </w:r>
    </w:p>
    <w:p w14:paraId="154A81DD" w14:textId="77777777" w:rsidR="00610266" w:rsidRPr="003836A1" w:rsidRDefault="00610266" w:rsidP="003836A1">
      <w:pPr>
        <w:jc w:val="both"/>
        <w:rPr>
          <w:rFonts w:ascii="Arial" w:eastAsia="Arial" w:hAnsi="Arial" w:cs="Arial"/>
        </w:rPr>
      </w:pPr>
    </w:p>
    <w:p w14:paraId="154A81DE" w14:textId="77777777" w:rsidR="00610266" w:rsidRPr="003836A1" w:rsidRDefault="00F95AB8" w:rsidP="003836A1">
      <w:pPr>
        <w:ind w:left="426"/>
        <w:jc w:val="both"/>
        <w:rPr>
          <w:rFonts w:ascii="Arial" w:eastAsia="Arial" w:hAnsi="Arial" w:cs="Arial"/>
          <w:b/>
        </w:rPr>
      </w:pPr>
      <w:r w:rsidRPr="003836A1">
        <w:rPr>
          <w:rFonts w:ascii="Arial" w:eastAsia="Arial" w:hAnsi="Arial" w:cs="Arial"/>
          <w:i/>
        </w:rPr>
        <w:t>“Análisis del impacto fiscal de las normas. En todo momento, el impacto fiscal de cualquier proyecto de ley, ordenanza o acuerdo, que ordene gasto o que otorgue beneficios tributarios, deberá hacerse explícito y deberá ser compatible con el Marco Fiscal de Mediano Plazo.</w:t>
      </w:r>
    </w:p>
    <w:p w14:paraId="154A81DF" w14:textId="77777777" w:rsidR="00610266" w:rsidRPr="003836A1" w:rsidRDefault="00610266" w:rsidP="003836A1">
      <w:pPr>
        <w:ind w:left="426"/>
        <w:jc w:val="both"/>
        <w:rPr>
          <w:rFonts w:ascii="Arial" w:eastAsia="Arial" w:hAnsi="Arial" w:cs="Arial"/>
          <w:i/>
        </w:rPr>
      </w:pPr>
    </w:p>
    <w:p w14:paraId="154A81E0" w14:textId="77777777" w:rsidR="00610266" w:rsidRPr="003836A1" w:rsidRDefault="00F95AB8" w:rsidP="003836A1">
      <w:pPr>
        <w:ind w:left="426"/>
        <w:jc w:val="both"/>
        <w:rPr>
          <w:rFonts w:ascii="Arial" w:eastAsia="Arial" w:hAnsi="Arial" w:cs="Arial"/>
          <w:i/>
        </w:rPr>
      </w:pPr>
      <w:r w:rsidRPr="003836A1">
        <w:rPr>
          <w:rFonts w:ascii="Arial" w:eastAsia="Arial" w:hAnsi="Arial" w:cs="Arial"/>
          <w:i/>
        </w:rPr>
        <w:t xml:space="preserve">Para estos propósitos, deberá incluirse expresamente en la exposición de motivos y en las ponencias de trámite respectivas los costos fiscales de la iniciativa y la fuente de ingreso adicional generada para el financiamiento de dicho costo. </w:t>
      </w:r>
    </w:p>
    <w:p w14:paraId="154A81E1" w14:textId="77777777" w:rsidR="00610266" w:rsidRPr="003836A1" w:rsidRDefault="00610266" w:rsidP="003836A1">
      <w:pPr>
        <w:jc w:val="both"/>
        <w:rPr>
          <w:rFonts w:ascii="Arial" w:eastAsia="Arial" w:hAnsi="Arial" w:cs="Arial"/>
        </w:rPr>
      </w:pPr>
    </w:p>
    <w:p w14:paraId="154A81E2"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Sin perjuicio de lo anterior, la ejecución de esta iniciativa no implica costos presupuestales que afectan las finanzas del Distrito en el Marco Fiscal de Mediano Plazo, toda vez que </w:t>
      </w:r>
      <w:r w:rsidR="003C5C39">
        <w:rPr>
          <w:rFonts w:ascii="Arial" w:eastAsia="Arial" w:hAnsi="Arial" w:cs="Arial"/>
        </w:rPr>
        <w:t xml:space="preserve">busca establecer lineamientos para fortalecer, proteger y mantener los perímetros del espacio público o lugares abiertos al público e instituciones o centros educativos distritales libres del consumo de sustancias psicoactivas ilícitas. </w:t>
      </w:r>
    </w:p>
    <w:p w14:paraId="154A81E3" w14:textId="77777777" w:rsidR="00610266" w:rsidRPr="003836A1" w:rsidRDefault="00610266" w:rsidP="003836A1">
      <w:pPr>
        <w:jc w:val="both"/>
        <w:rPr>
          <w:rFonts w:ascii="Arial" w:eastAsia="Arial" w:hAnsi="Arial" w:cs="Arial"/>
        </w:rPr>
      </w:pPr>
    </w:p>
    <w:p w14:paraId="154A81E4"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Por lo que, de ser necesaria la ejecución de algunos recursos para la implementación de esta iniciativa, considero posible que en la articulación con el Plan Distrital de Desarrollo y el presupuesto </w:t>
      </w:r>
      <w:r w:rsidR="00271911">
        <w:rPr>
          <w:rFonts w:ascii="Arial" w:eastAsia="Arial" w:hAnsi="Arial" w:cs="Arial"/>
        </w:rPr>
        <w:t>aprobado</w:t>
      </w:r>
      <w:r w:rsidRPr="003836A1">
        <w:rPr>
          <w:rFonts w:ascii="Arial" w:eastAsia="Arial" w:hAnsi="Arial" w:cs="Arial"/>
        </w:rPr>
        <w:t xml:space="preserve"> de las entidades competentes, es posible se apropien los recursos con los cuales se puede financiar el presente proyecto en caso de requerirlo. </w:t>
      </w:r>
    </w:p>
    <w:p w14:paraId="154A81E5" w14:textId="77777777" w:rsidR="00610266" w:rsidRPr="003836A1" w:rsidRDefault="00610266" w:rsidP="003836A1">
      <w:pPr>
        <w:pBdr>
          <w:top w:val="nil"/>
          <w:left w:val="nil"/>
          <w:bottom w:val="nil"/>
          <w:right w:val="nil"/>
          <w:between w:val="nil"/>
        </w:pBdr>
        <w:rPr>
          <w:rFonts w:ascii="Arial" w:eastAsia="Arial" w:hAnsi="Arial" w:cs="Arial"/>
        </w:rPr>
      </w:pPr>
    </w:p>
    <w:p w14:paraId="154A81E6" w14:textId="77777777" w:rsidR="00610266" w:rsidRPr="003836A1" w:rsidRDefault="00F95AB8" w:rsidP="003836A1">
      <w:pPr>
        <w:pBdr>
          <w:top w:val="nil"/>
          <w:left w:val="nil"/>
          <w:bottom w:val="nil"/>
          <w:right w:val="nil"/>
          <w:between w:val="nil"/>
        </w:pBdr>
        <w:rPr>
          <w:rFonts w:ascii="Arial" w:eastAsia="Arial" w:hAnsi="Arial" w:cs="Arial"/>
        </w:rPr>
      </w:pPr>
      <w:r w:rsidRPr="003836A1">
        <w:rPr>
          <w:rFonts w:ascii="Arial" w:eastAsia="Arial" w:hAnsi="Arial" w:cs="Arial"/>
        </w:rPr>
        <w:t>Cordialmente,</w:t>
      </w:r>
    </w:p>
    <w:p w14:paraId="154A81E7" w14:textId="77777777" w:rsidR="00610266" w:rsidRPr="003836A1" w:rsidRDefault="00610266" w:rsidP="003836A1">
      <w:pPr>
        <w:pBdr>
          <w:top w:val="nil"/>
          <w:left w:val="nil"/>
          <w:bottom w:val="nil"/>
          <w:right w:val="nil"/>
          <w:between w:val="nil"/>
        </w:pBdr>
        <w:rPr>
          <w:rFonts w:ascii="Arial" w:eastAsia="Arial" w:hAnsi="Arial" w:cs="Arial"/>
        </w:rPr>
      </w:pPr>
    </w:p>
    <w:p w14:paraId="154A81E8" w14:textId="77777777" w:rsidR="00610266" w:rsidRPr="003836A1" w:rsidRDefault="00610266" w:rsidP="003836A1">
      <w:pPr>
        <w:pBdr>
          <w:top w:val="nil"/>
          <w:left w:val="nil"/>
          <w:bottom w:val="nil"/>
          <w:right w:val="nil"/>
          <w:between w:val="nil"/>
        </w:pBdr>
        <w:rPr>
          <w:rFonts w:ascii="Arial" w:eastAsia="Arial" w:hAnsi="Arial" w:cs="Arial"/>
        </w:rPr>
      </w:pPr>
    </w:p>
    <w:p w14:paraId="154A81E9" w14:textId="77777777" w:rsidR="00610266" w:rsidRPr="003836A1" w:rsidRDefault="00E82F47" w:rsidP="003836A1">
      <w:pPr>
        <w:pBdr>
          <w:top w:val="nil"/>
          <w:left w:val="nil"/>
          <w:bottom w:val="nil"/>
          <w:right w:val="nil"/>
          <w:between w:val="nil"/>
        </w:pBdr>
        <w:rPr>
          <w:rFonts w:ascii="Arial" w:eastAsia="Arial" w:hAnsi="Arial" w:cs="Arial"/>
        </w:rPr>
      </w:pPr>
      <w:r>
        <w:rPr>
          <w:rFonts w:ascii="Arial" w:eastAsia="Arial" w:hAnsi="Arial" w:cs="Arial"/>
          <w:noProof/>
          <w:lang w:val="es-419" w:eastAsia="es-419"/>
        </w:rPr>
        <w:drawing>
          <wp:inline distT="0" distB="0" distL="0" distR="0" wp14:anchorId="154A823D" wp14:editId="154A823E">
            <wp:extent cx="2375863" cy="838200"/>
            <wp:effectExtent l="0" t="0" r="571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rma Papo.jpg"/>
                    <pic:cNvPicPr/>
                  </pic:nvPicPr>
                  <pic:blipFill>
                    <a:blip r:embed="rId124">
                      <a:extLst>
                        <a:ext uri="{28A0092B-C50C-407E-A947-70E740481C1C}">
                          <a14:useLocalDpi xmlns:a14="http://schemas.microsoft.com/office/drawing/2010/main" val="0"/>
                        </a:ext>
                      </a:extLst>
                    </a:blip>
                    <a:stretch>
                      <a:fillRect/>
                    </a:stretch>
                  </pic:blipFill>
                  <pic:spPr>
                    <a:xfrm>
                      <a:off x="0" y="0"/>
                      <a:ext cx="2382627" cy="840586"/>
                    </a:xfrm>
                    <a:prstGeom prst="rect">
                      <a:avLst/>
                    </a:prstGeom>
                  </pic:spPr>
                </pic:pic>
              </a:graphicData>
            </a:graphic>
          </wp:inline>
        </w:drawing>
      </w:r>
    </w:p>
    <w:p w14:paraId="154A81EA" w14:textId="77777777" w:rsidR="00610266" w:rsidRPr="003836A1" w:rsidRDefault="00F95AB8" w:rsidP="003836A1">
      <w:pPr>
        <w:pBdr>
          <w:top w:val="nil"/>
          <w:left w:val="nil"/>
          <w:bottom w:val="nil"/>
          <w:right w:val="nil"/>
          <w:between w:val="nil"/>
        </w:pBdr>
        <w:rPr>
          <w:rFonts w:ascii="Arial" w:eastAsia="Arial" w:hAnsi="Arial" w:cs="Arial"/>
        </w:rPr>
      </w:pPr>
      <w:r w:rsidRPr="003836A1">
        <w:rPr>
          <w:rFonts w:ascii="Arial" w:eastAsia="Arial" w:hAnsi="Arial" w:cs="Arial"/>
        </w:rPr>
        <w:t>_____________________________________</w:t>
      </w:r>
    </w:p>
    <w:p w14:paraId="154A81EB" w14:textId="77777777" w:rsidR="00610266" w:rsidRPr="003836A1" w:rsidRDefault="00F95AB8" w:rsidP="003836A1">
      <w:pPr>
        <w:pBdr>
          <w:top w:val="nil"/>
          <w:left w:val="nil"/>
          <w:bottom w:val="nil"/>
          <w:right w:val="nil"/>
          <w:between w:val="nil"/>
        </w:pBdr>
        <w:rPr>
          <w:rFonts w:ascii="Arial" w:eastAsia="Arial" w:hAnsi="Arial" w:cs="Arial"/>
          <w:b/>
        </w:rPr>
      </w:pPr>
      <w:r w:rsidRPr="003836A1">
        <w:rPr>
          <w:rFonts w:ascii="Arial" w:eastAsia="Arial" w:hAnsi="Arial" w:cs="Arial"/>
          <w:b/>
        </w:rPr>
        <w:t>H.C. HUMBERTO RAFAEL AMÍN MARTELO</w:t>
      </w:r>
    </w:p>
    <w:p w14:paraId="154A81EC" w14:textId="77777777" w:rsidR="00610266" w:rsidRPr="003836A1" w:rsidRDefault="00F95AB8" w:rsidP="003836A1">
      <w:pPr>
        <w:pBdr>
          <w:top w:val="nil"/>
          <w:left w:val="nil"/>
          <w:bottom w:val="nil"/>
          <w:right w:val="nil"/>
          <w:between w:val="nil"/>
        </w:pBdr>
        <w:ind w:right="6131"/>
        <w:rPr>
          <w:rFonts w:ascii="Arial" w:eastAsia="Arial" w:hAnsi="Arial" w:cs="Arial"/>
        </w:rPr>
        <w:sectPr w:rsidR="00610266" w:rsidRPr="003836A1">
          <w:headerReference w:type="default" r:id="rId125"/>
          <w:pgSz w:w="12240" w:h="15840"/>
          <w:pgMar w:top="2693" w:right="1582" w:bottom="1418" w:left="1582" w:header="1140" w:footer="0" w:gutter="0"/>
          <w:pgNumType w:start="1"/>
          <w:cols w:space="720"/>
        </w:sectPr>
      </w:pPr>
      <w:r w:rsidRPr="003836A1">
        <w:rPr>
          <w:rFonts w:ascii="Arial" w:eastAsia="Arial" w:hAnsi="Arial" w:cs="Arial"/>
        </w:rPr>
        <w:t>Concejal de Bogotá D.C. Partido Centro Democrático</w:t>
      </w:r>
    </w:p>
    <w:p w14:paraId="154A81ED" w14:textId="77777777" w:rsidR="00610266" w:rsidRPr="003836A1" w:rsidRDefault="00610266" w:rsidP="003836A1">
      <w:pPr>
        <w:pBdr>
          <w:top w:val="nil"/>
          <w:left w:val="nil"/>
          <w:bottom w:val="nil"/>
          <w:right w:val="nil"/>
          <w:between w:val="nil"/>
        </w:pBdr>
        <w:rPr>
          <w:rFonts w:ascii="Arial" w:eastAsia="Arial" w:hAnsi="Arial" w:cs="Arial"/>
          <w:b/>
        </w:rPr>
      </w:pPr>
    </w:p>
    <w:p w14:paraId="154A81EE" w14:textId="77777777" w:rsidR="00610266" w:rsidRPr="003836A1" w:rsidRDefault="00271911" w:rsidP="003836A1">
      <w:pPr>
        <w:pBdr>
          <w:top w:val="nil"/>
          <w:left w:val="nil"/>
          <w:bottom w:val="nil"/>
          <w:right w:val="nil"/>
          <w:between w:val="nil"/>
        </w:pBdr>
        <w:jc w:val="center"/>
        <w:rPr>
          <w:rFonts w:ascii="Arial" w:eastAsia="Arial" w:hAnsi="Arial" w:cs="Arial"/>
          <w:b/>
        </w:rPr>
      </w:pPr>
      <w:r>
        <w:rPr>
          <w:rFonts w:ascii="Arial" w:eastAsia="Arial" w:hAnsi="Arial" w:cs="Arial"/>
          <w:b/>
        </w:rPr>
        <w:t>ACUERDO  ________ DE 2025</w:t>
      </w:r>
      <w:r w:rsidR="00F95AB8" w:rsidRPr="003836A1">
        <w:rPr>
          <w:rFonts w:ascii="Arial" w:eastAsia="Arial" w:hAnsi="Arial" w:cs="Arial"/>
          <w:b/>
        </w:rPr>
        <w:t xml:space="preserve"> </w:t>
      </w:r>
    </w:p>
    <w:p w14:paraId="154A81EF" w14:textId="77777777" w:rsidR="00610266" w:rsidRPr="003836A1" w:rsidRDefault="00610266" w:rsidP="003836A1">
      <w:pPr>
        <w:pBdr>
          <w:top w:val="nil"/>
          <w:left w:val="nil"/>
          <w:bottom w:val="nil"/>
          <w:right w:val="nil"/>
          <w:between w:val="nil"/>
        </w:pBdr>
        <w:jc w:val="both"/>
        <w:rPr>
          <w:rFonts w:ascii="Arial" w:eastAsia="Arial" w:hAnsi="Arial" w:cs="Arial"/>
          <w:i/>
        </w:rPr>
      </w:pPr>
    </w:p>
    <w:tbl>
      <w:tblPr>
        <w:tblStyle w:val="a6"/>
        <w:tblW w:w="9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7"/>
      </w:tblGrid>
      <w:tr w:rsidR="003836A1" w:rsidRPr="003836A1" w14:paraId="154A81F2" w14:textId="77777777">
        <w:trPr>
          <w:trHeight w:val="1185"/>
        </w:trPr>
        <w:tc>
          <w:tcPr>
            <w:tcW w:w="9067" w:type="dxa"/>
            <w:tcBorders>
              <w:top w:val="single" w:sz="4" w:space="0" w:color="000000"/>
              <w:left w:val="single" w:sz="4" w:space="0" w:color="000000"/>
              <w:bottom w:val="single" w:sz="4" w:space="0" w:color="000000"/>
              <w:right w:val="single" w:sz="4" w:space="0" w:color="000000"/>
            </w:tcBorders>
          </w:tcPr>
          <w:p w14:paraId="154A81F0" w14:textId="77777777" w:rsidR="00610266" w:rsidRPr="003836A1" w:rsidRDefault="00610266" w:rsidP="003836A1">
            <w:pPr>
              <w:pStyle w:val="Ttulo2"/>
              <w:tabs>
                <w:tab w:val="left" w:pos="3741"/>
              </w:tabs>
              <w:ind w:left="0" w:right="1"/>
              <w:outlineLvl w:val="1"/>
            </w:pPr>
          </w:p>
          <w:p w14:paraId="154A81F1" w14:textId="77777777" w:rsidR="00610266" w:rsidRPr="003836A1" w:rsidRDefault="00F95AB8" w:rsidP="003836A1">
            <w:pPr>
              <w:pStyle w:val="Ttulo2"/>
              <w:ind w:left="0" w:right="9"/>
              <w:jc w:val="center"/>
              <w:outlineLvl w:val="1"/>
            </w:pPr>
            <w:r w:rsidRPr="003836A1">
              <w:t>“POR EL CUAL SE BUSCA RECUPERAR LOS ESPACIOS PÚBLICOS O LUGARES ABIERTOS AL PÚBLICO PARA QUE SEAN SEGUROS Y LIBRES DE SUSTANCIAS PSICOACTIVAS ILÍCITAS EN BOGOTÁ”</w:t>
            </w:r>
          </w:p>
        </w:tc>
      </w:tr>
      <w:tr w:rsidR="003836A1" w:rsidRPr="003836A1" w14:paraId="154A81F7" w14:textId="77777777">
        <w:tc>
          <w:tcPr>
            <w:tcW w:w="9067" w:type="dxa"/>
            <w:tcBorders>
              <w:top w:val="single" w:sz="4" w:space="0" w:color="000000"/>
              <w:left w:val="single" w:sz="4" w:space="0" w:color="000000"/>
              <w:bottom w:val="single" w:sz="4" w:space="0" w:color="000000"/>
              <w:right w:val="single" w:sz="4" w:space="0" w:color="000000"/>
            </w:tcBorders>
          </w:tcPr>
          <w:p w14:paraId="154A81F3" w14:textId="77777777" w:rsidR="00610266" w:rsidRPr="003836A1" w:rsidRDefault="00F95AB8" w:rsidP="003836A1">
            <w:pPr>
              <w:jc w:val="center"/>
              <w:rPr>
                <w:rFonts w:ascii="Arial" w:eastAsia="Arial" w:hAnsi="Arial" w:cs="Arial"/>
                <w:b/>
              </w:rPr>
            </w:pPr>
            <w:r w:rsidRPr="003836A1">
              <w:rPr>
                <w:rFonts w:ascii="Arial" w:eastAsia="Arial" w:hAnsi="Arial" w:cs="Arial"/>
                <w:b/>
              </w:rPr>
              <w:t>EL CONCEJO DE BOGOTÁ D.C.,</w:t>
            </w:r>
          </w:p>
          <w:p w14:paraId="154A81F4" w14:textId="77777777" w:rsidR="00610266" w:rsidRPr="003836A1" w:rsidRDefault="00610266" w:rsidP="003836A1">
            <w:pPr>
              <w:jc w:val="center"/>
              <w:rPr>
                <w:rFonts w:ascii="Arial" w:eastAsia="Arial" w:hAnsi="Arial" w:cs="Arial"/>
              </w:rPr>
            </w:pPr>
          </w:p>
          <w:p w14:paraId="154A81F5" w14:textId="77777777" w:rsidR="00610266" w:rsidRPr="003836A1" w:rsidRDefault="00F95AB8" w:rsidP="003836A1">
            <w:pPr>
              <w:jc w:val="center"/>
              <w:rPr>
                <w:rFonts w:ascii="Arial" w:eastAsia="Arial" w:hAnsi="Arial" w:cs="Arial"/>
              </w:rPr>
            </w:pPr>
            <w:r w:rsidRPr="003836A1">
              <w:rPr>
                <w:rFonts w:ascii="Arial" w:eastAsia="Arial" w:hAnsi="Arial" w:cs="Arial"/>
              </w:rPr>
              <w:t>En ejercicio de sus atribuciones constitucionales y legales, en especial las conferidas en los numerales 1°, 7° y 25 del artículo 12 del Decreto Ley 1421 de 1993.</w:t>
            </w:r>
          </w:p>
          <w:p w14:paraId="154A81F6" w14:textId="77777777" w:rsidR="00610266" w:rsidRPr="003836A1" w:rsidRDefault="00610266" w:rsidP="003836A1">
            <w:pPr>
              <w:rPr>
                <w:rFonts w:ascii="Arial" w:eastAsia="Arial" w:hAnsi="Arial" w:cs="Arial"/>
              </w:rPr>
            </w:pPr>
          </w:p>
        </w:tc>
      </w:tr>
      <w:tr w:rsidR="003836A1" w:rsidRPr="003836A1" w14:paraId="154A81FC" w14:textId="77777777">
        <w:tc>
          <w:tcPr>
            <w:tcW w:w="9067" w:type="dxa"/>
            <w:tcBorders>
              <w:top w:val="single" w:sz="4" w:space="0" w:color="000000"/>
              <w:left w:val="single" w:sz="4" w:space="0" w:color="000000"/>
              <w:bottom w:val="single" w:sz="4" w:space="0" w:color="000000"/>
              <w:right w:val="single" w:sz="4" w:space="0" w:color="000000"/>
            </w:tcBorders>
          </w:tcPr>
          <w:p w14:paraId="154A81F8" w14:textId="77777777" w:rsidR="00610266" w:rsidRPr="003836A1" w:rsidRDefault="00F95AB8" w:rsidP="003836A1">
            <w:pPr>
              <w:widowControl w:val="0"/>
              <w:pBdr>
                <w:top w:val="nil"/>
                <w:left w:val="nil"/>
                <w:bottom w:val="nil"/>
                <w:right w:val="nil"/>
                <w:between w:val="nil"/>
              </w:pBdr>
              <w:jc w:val="both"/>
              <w:rPr>
                <w:rFonts w:ascii="Arial" w:eastAsia="Arial" w:hAnsi="Arial" w:cs="Arial"/>
              </w:rPr>
            </w:pPr>
            <w:r w:rsidRPr="003836A1">
              <w:rPr>
                <w:rFonts w:ascii="Arial" w:eastAsia="Arial" w:hAnsi="Arial" w:cs="Arial"/>
                <w:b/>
              </w:rPr>
              <w:t>Artículo 1. Objeto</w:t>
            </w:r>
            <w:r w:rsidRPr="003836A1">
              <w:rPr>
                <w:rFonts w:ascii="Arial" w:eastAsia="Arial" w:hAnsi="Arial" w:cs="Arial"/>
              </w:rPr>
              <w:t>. Establecer lineamientos para fortalecer, proteger, y mantener los perímetros del espacio público o lugares abiertos al público e instituciones o centros educativos distritales libres del consumo de sustancias psicoactivas ilícitas.</w:t>
            </w:r>
          </w:p>
          <w:p w14:paraId="154A81F9" w14:textId="77777777" w:rsidR="00610266" w:rsidRPr="003836A1" w:rsidRDefault="00610266" w:rsidP="003836A1">
            <w:pPr>
              <w:widowControl w:val="0"/>
              <w:jc w:val="both"/>
              <w:rPr>
                <w:rFonts w:ascii="Arial" w:eastAsia="Arial" w:hAnsi="Arial" w:cs="Arial"/>
              </w:rPr>
            </w:pPr>
          </w:p>
          <w:p w14:paraId="154A81FA" w14:textId="77777777" w:rsidR="00610266" w:rsidRPr="003836A1" w:rsidRDefault="00F95AB8" w:rsidP="003836A1">
            <w:pPr>
              <w:widowControl w:val="0"/>
              <w:jc w:val="both"/>
              <w:rPr>
                <w:rFonts w:ascii="Arial" w:eastAsia="Arial" w:hAnsi="Arial" w:cs="Arial"/>
              </w:rPr>
            </w:pPr>
            <w:r w:rsidRPr="003836A1">
              <w:rPr>
                <w:rFonts w:ascii="Arial" w:eastAsia="Arial" w:hAnsi="Arial" w:cs="Arial"/>
              </w:rPr>
              <w:t>Lo anterior con el propósito de prevenir y proteger a los niños, niñas y adolescentes para que dentro de su entorno no se evidencien prácticas que puedan servir como ejemplo e inducirlos a su consumo, así como prevenir las afectaciones y riesgos a su integridad y salud.</w:t>
            </w:r>
          </w:p>
          <w:p w14:paraId="154A81FB" w14:textId="77777777" w:rsidR="00610266" w:rsidRPr="003836A1" w:rsidRDefault="00610266" w:rsidP="003836A1">
            <w:pPr>
              <w:pBdr>
                <w:top w:val="nil"/>
                <w:left w:val="nil"/>
                <w:bottom w:val="nil"/>
                <w:right w:val="nil"/>
                <w:between w:val="nil"/>
              </w:pBdr>
              <w:jc w:val="both"/>
              <w:rPr>
                <w:rFonts w:ascii="Arial" w:eastAsia="Arial" w:hAnsi="Arial" w:cs="Arial"/>
                <w:b/>
              </w:rPr>
            </w:pPr>
          </w:p>
        </w:tc>
      </w:tr>
      <w:tr w:rsidR="003836A1" w:rsidRPr="003836A1" w14:paraId="154A820F" w14:textId="77777777">
        <w:tc>
          <w:tcPr>
            <w:tcW w:w="9067" w:type="dxa"/>
            <w:tcBorders>
              <w:top w:val="single" w:sz="4" w:space="0" w:color="000000"/>
              <w:left w:val="single" w:sz="4" w:space="0" w:color="000000"/>
              <w:bottom w:val="single" w:sz="4" w:space="0" w:color="000000"/>
              <w:right w:val="single" w:sz="4" w:space="0" w:color="000000"/>
            </w:tcBorders>
          </w:tcPr>
          <w:p w14:paraId="154A81FD" w14:textId="77777777" w:rsidR="00610266" w:rsidRPr="003836A1" w:rsidRDefault="00F95AB8" w:rsidP="003836A1">
            <w:pPr>
              <w:jc w:val="both"/>
              <w:rPr>
                <w:rFonts w:ascii="Arial" w:eastAsia="Arial" w:hAnsi="Arial" w:cs="Arial"/>
              </w:rPr>
            </w:pPr>
            <w:r w:rsidRPr="003836A1">
              <w:rPr>
                <w:rFonts w:ascii="Arial" w:eastAsia="Arial" w:hAnsi="Arial" w:cs="Arial"/>
                <w:b/>
              </w:rPr>
              <w:t>Artículo 2. Lineamientos.</w:t>
            </w:r>
            <w:r w:rsidRPr="003836A1">
              <w:rPr>
                <w:rFonts w:ascii="Arial" w:eastAsia="Arial" w:hAnsi="Arial" w:cs="Arial"/>
              </w:rPr>
              <w:t xml:space="preserve"> En cumplimiento de lo establecido en los artículos 13, 33, 34, 38 y 140 de la Ley 1801 de 2016, artículos 45 y 46 de la Ley 715 de 2001, artículo 20 de la Ley 1098 de 2006, artículos 5 y 6 del Decreto 691 de 2011, el Decreto 825 de 2019 y demás normas que los modifiquen, adicionen o deroguen, la Administración Distrital propenderá por:</w:t>
            </w:r>
          </w:p>
          <w:p w14:paraId="154A81FE" w14:textId="77777777" w:rsidR="00610266" w:rsidRPr="003836A1" w:rsidRDefault="00610266" w:rsidP="003836A1">
            <w:pPr>
              <w:jc w:val="both"/>
              <w:rPr>
                <w:rFonts w:ascii="Arial" w:eastAsia="Arial" w:hAnsi="Arial" w:cs="Arial"/>
              </w:rPr>
            </w:pPr>
          </w:p>
          <w:p w14:paraId="154A81FF" w14:textId="77777777" w:rsidR="00610266" w:rsidRPr="003836A1" w:rsidRDefault="00F95AB8" w:rsidP="003836A1">
            <w:pPr>
              <w:widowControl w:val="0"/>
              <w:numPr>
                <w:ilvl w:val="0"/>
                <w:numId w:val="7"/>
              </w:numPr>
              <w:pBdr>
                <w:top w:val="nil"/>
                <w:left w:val="nil"/>
                <w:bottom w:val="nil"/>
                <w:right w:val="nil"/>
                <w:between w:val="nil"/>
              </w:pBdr>
              <w:jc w:val="both"/>
              <w:rPr>
                <w:rFonts w:ascii="Arial" w:eastAsia="Arial" w:hAnsi="Arial" w:cs="Arial"/>
                <w:b/>
              </w:rPr>
            </w:pPr>
            <w:r w:rsidRPr="003836A1">
              <w:rPr>
                <w:rFonts w:ascii="Arial" w:eastAsia="Arial" w:hAnsi="Arial" w:cs="Arial"/>
                <w:highlight w:val="white"/>
              </w:rPr>
              <w:t xml:space="preserve">Velar porque al interior y alrededores de las </w:t>
            </w:r>
            <w:r w:rsidRPr="003836A1">
              <w:rPr>
                <w:rFonts w:ascii="Arial" w:eastAsia="Arial" w:hAnsi="Arial" w:cs="Arial"/>
              </w:rPr>
              <w:t xml:space="preserve">instituciones de educación formal y de educación para el trabajo y desarrollo humano público y privado ubicado en Bogotá; Jardines infantiles; Establecimientos educativos en sus niveles: preescolar, básica primaria y básica secundaria y media; Instituciones de Educación Superior; Centros de Atención para Población Vinculada al Sistema de Responsabilidad Penal para Adolescentes; </w:t>
            </w:r>
            <w:r w:rsidRPr="003836A1">
              <w:rPr>
                <w:rFonts w:ascii="Arial" w:eastAsia="Arial" w:hAnsi="Arial" w:cs="Arial"/>
                <w:highlight w:val="white"/>
              </w:rPr>
              <w:t xml:space="preserve">Estadios, coliseos y centros deportivos; Así como en los parques </w:t>
            </w:r>
            <w:r w:rsidRPr="003836A1">
              <w:rPr>
                <w:rFonts w:ascii="Arial" w:eastAsia="Arial" w:hAnsi="Arial" w:cs="Arial"/>
              </w:rPr>
              <w:t>de escala metropolitana, regional, zonal, vecinal y de bolsillo no se realicen actividades tendientes al consumo de sustancias psicoactivas ilegales.</w:t>
            </w:r>
          </w:p>
          <w:p w14:paraId="154A8200" w14:textId="77777777" w:rsidR="00610266" w:rsidRPr="003836A1" w:rsidRDefault="00610266" w:rsidP="003836A1">
            <w:pPr>
              <w:widowControl w:val="0"/>
              <w:pBdr>
                <w:top w:val="nil"/>
                <w:left w:val="nil"/>
                <w:bottom w:val="nil"/>
                <w:right w:val="nil"/>
                <w:between w:val="nil"/>
              </w:pBdr>
              <w:ind w:left="720"/>
              <w:jc w:val="both"/>
              <w:rPr>
                <w:rFonts w:ascii="Arial" w:eastAsia="Arial" w:hAnsi="Arial" w:cs="Arial"/>
                <w:b/>
              </w:rPr>
            </w:pPr>
          </w:p>
          <w:p w14:paraId="154A8201" w14:textId="77777777" w:rsidR="00610266" w:rsidRPr="003836A1" w:rsidRDefault="00F95AB8" w:rsidP="003836A1">
            <w:pPr>
              <w:widowControl w:val="0"/>
              <w:numPr>
                <w:ilvl w:val="0"/>
                <w:numId w:val="7"/>
              </w:numPr>
              <w:pBdr>
                <w:top w:val="nil"/>
                <w:left w:val="nil"/>
                <w:bottom w:val="nil"/>
                <w:right w:val="nil"/>
                <w:between w:val="nil"/>
              </w:pBdr>
              <w:jc w:val="both"/>
              <w:rPr>
                <w:rFonts w:ascii="Arial" w:eastAsia="Arial" w:hAnsi="Arial" w:cs="Arial"/>
              </w:rPr>
            </w:pPr>
            <w:r w:rsidRPr="003836A1">
              <w:rPr>
                <w:rFonts w:ascii="Arial" w:eastAsia="Arial" w:hAnsi="Arial" w:cs="Arial"/>
              </w:rPr>
              <w:t>La Administración Distrital a través de las entidades competentes, coordinará la realización de campañas pedagógicas y fortalecerá las estrategias y programas existentes de forma articulada para concientizar a la comunidad sobre la necesidad de la prevención del consumo de sustancias psicoactivas ilícitas y las consecuencias nocivas de estas para la salud.</w:t>
            </w:r>
          </w:p>
          <w:p w14:paraId="154A8202" w14:textId="77777777" w:rsidR="00610266" w:rsidRPr="003836A1" w:rsidRDefault="00610266" w:rsidP="003836A1">
            <w:pPr>
              <w:widowControl w:val="0"/>
              <w:pBdr>
                <w:top w:val="nil"/>
                <w:left w:val="nil"/>
                <w:bottom w:val="nil"/>
                <w:right w:val="nil"/>
                <w:between w:val="nil"/>
              </w:pBdr>
              <w:ind w:left="119"/>
              <w:jc w:val="both"/>
              <w:rPr>
                <w:rFonts w:ascii="Arial" w:eastAsia="Arial" w:hAnsi="Arial" w:cs="Arial"/>
              </w:rPr>
            </w:pPr>
          </w:p>
          <w:p w14:paraId="154A8203" w14:textId="77777777" w:rsidR="00610266" w:rsidRPr="003836A1" w:rsidRDefault="00F95AB8" w:rsidP="003836A1">
            <w:pPr>
              <w:widowControl w:val="0"/>
              <w:numPr>
                <w:ilvl w:val="0"/>
                <w:numId w:val="7"/>
              </w:numPr>
              <w:pBdr>
                <w:top w:val="nil"/>
                <w:left w:val="nil"/>
                <w:bottom w:val="nil"/>
                <w:right w:val="nil"/>
                <w:between w:val="nil"/>
              </w:pBdr>
              <w:jc w:val="both"/>
              <w:rPr>
                <w:rFonts w:ascii="Arial" w:eastAsia="Arial" w:hAnsi="Arial" w:cs="Arial"/>
              </w:rPr>
            </w:pPr>
            <w:r w:rsidRPr="003836A1">
              <w:rPr>
                <w:rFonts w:ascii="Arial" w:eastAsia="Arial" w:hAnsi="Arial" w:cs="Arial"/>
              </w:rPr>
              <w:t>Instar a las autoridades distritales para que en el marco de sus competencias establezcan protocolos claros para la imposición de las medidas correctivas establecidas en la Ley 1801 de 2016 parágrafo 6 del artículo 38 para los comportamientos descritos en el numeral 6 literal a); parágrafo 1 del artículo 33 para los comportamientos descritos en el literal c) numeral 1; así como también los establecidos por el parágrafo 2 del artículo 140 de este código para las conductas señaladas en el numeral 13 de dicha norma.</w:t>
            </w:r>
          </w:p>
          <w:p w14:paraId="154A8204" w14:textId="77777777" w:rsidR="00610266" w:rsidRPr="003836A1" w:rsidRDefault="00610266" w:rsidP="003836A1">
            <w:pPr>
              <w:widowControl w:val="0"/>
              <w:pBdr>
                <w:top w:val="nil"/>
                <w:left w:val="nil"/>
                <w:bottom w:val="nil"/>
                <w:right w:val="nil"/>
                <w:between w:val="nil"/>
              </w:pBdr>
              <w:ind w:left="119"/>
              <w:jc w:val="both"/>
              <w:rPr>
                <w:rFonts w:ascii="Arial" w:eastAsia="Arial" w:hAnsi="Arial" w:cs="Arial"/>
              </w:rPr>
            </w:pPr>
          </w:p>
          <w:p w14:paraId="154A8205" w14:textId="77777777" w:rsidR="00610266" w:rsidRPr="003836A1" w:rsidRDefault="00F95AB8" w:rsidP="003836A1">
            <w:pPr>
              <w:widowControl w:val="0"/>
              <w:numPr>
                <w:ilvl w:val="0"/>
                <w:numId w:val="7"/>
              </w:numPr>
              <w:pBdr>
                <w:top w:val="nil"/>
                <w:left w:val="nil"/>
                <w:bottom w:val="nil"/>
                <w:right w:val="nil"/>
                <w:between w:val="nil"/>
              </w:pBdr>
              <w:jc w:val="both"/>
              <w:rPr>
                <w:rFonts w:ascii="Arial" w:eastAsia="Arial" w:hAnsi="Arial" w:cs="Arial"/>
              </w:rPr>
            </w:pPr>
            <w:r w:rsidRPr="003836A1">
              <w:rPr>
                <w:rFonts w:ascii="Arial" w:eastAsia="Arial" w:hAnsi="Arial" w:cs="Arial"/>
              </w:rPr>
              <w:t>De conformidad con el Decreto Distrital 210 de 2018, la Administración Distrital propenderá porque desde el Consejo Distrital de Estupefacientes, Seccional Bogotá, D.C., se refuercen las medidas preventivas contenidas en el presente Acuerdo y que hagan parte del Plan de Acción de la Política Pública de Prevención y Atención del Consumo y la Prevención de la Vinculación a la Oferta de Sustancias Psicoactivas en Bogotá, D.C., para su abordaje integral e intersectorial.</w:t>
            </w:r>
          </w:p>
          <w:p w14:paraId="154A8206" w14:textId="77777777" w:rsidR="00610266" w:rsidRPr="003836A1" w:rsidRDefault="00610266" w:rsidP="003836A1">
            <w:pPr>
              <w:widowControl w:val="0"/>
              <w:pBdr>
                <w:top w:val="nil"/>
                <w:left w:val="nil"/>
                <w:bottom w:val="nil"/>
                <w:right w:val="nil"/>
                <w:between w:val="nil"/>
              </w:pBdr>
              <w:ind w:left="720"/>
              <w:jc w:val="both"/>
              <w:rPr>
                <w:rFonts w:ascii="Arial" w:eastAsia="Arial" w:hAnsi="Arial" w:cs="Arial"/>
              </w:rPr>
            </w:pPr>
          </w:p>
          <w:p w14:paraId="154A8207" w14:textId="77777777" w:rsidR="00EC29D7" w:rsidRPr="003836A1" w:rsidRDefault="00F95AB8" w:rsidP="003836A1">
            <w:pPr>
              <w:widowControl w:val="0"/>
              <w:numPr>
                <w:ilvl w:val="0"/>
                <w:numId w:val="7"/>
              </w:numPr>
              <w:pBdr>
                <w:top w:val="nil"/>
                <w:left w:val="nil"/>
                <w:bottom w:val="nil"/>
                <w:right w:val="nil"/>
                <w:between w:val="nil"/>
              </w:pBdr>
              <w:jc w:val="both"/>
              <w:rPr>
                <w:rFonts w:ascii="Arial" w:eastAsia="Arial" w:hAnsi="Arial" w:cs="Arial"/>
              </w:rPr>
            </w:pPr>
            <w:r w:rsidRPr="003836A1">
              <w:rPr>
                <w:rFonts w:ascii="Arial" w:eastAsia="Arial" w:hAnsi="Arial" w:cs="Arial"/>
              </w:rPr>
              <w:t xml:space="preserve">La Administración Distrital en ejercicio de sus competencias, establecerá y delimitará </w:t>
            </w:r>
            <w:r w:rsidR="00EC29D7" w:rsidRPr="003836A1">
              <w:rPr>
                <w:rFonts w:ascii="Arial" w:eastAsia="Arial" w:hAnsi="Arial" w:cs="Arial"/>
              </w:rPr>
              <w:t xml:space="preserve">o </w:t>
            </w:r>
            <w:r w:rsidRPr="003836A1">
              <w:rPr>
                <w:rFonts w:ascii="Arial" w:eastAsia="Arial" w:hAnsi="Arial" w:cs="Arial"/>
              </w:rPr>
              <w:t>aquellas zonas que deban ser protegidas, restringidas y/o limitadas para que no se presenten conductas como el consumo de sustancias psicoactivas ilícitas.</w:t>
            </w:r>
          </w:p>
          <w:p w14:paraId="154A8208" w14:textId="77777777" w:rsidR="00EC29D7" w:rsidRPr="003836A1" w:rsidRDefault="00EC29D7" w:rsidP="003836A1">
            <w:pPr>
              <w:pStyle w:val="Prrafodelista"/>
              <w:jc w:val="both"/>
              <w:rPr>
                <w:rFonts w:ascii="Arial" w:eastAsia="Arial" w:hAnsi="Arial" w:cs="Arial"/>
              </w:rPr>
            </w:pPr>
          </w:p>
          <w:p w14:paraId="154A8209" w14:textId="77777777" w:rsidR="00EB13AC" w:rsidRPr="003836A1" w:rsidRDefault="00F95AB8" w:rsidP="003836A1">
            <w:pPr>
              <w:pStyle w:val="Prrafodelista"/>
              <w:jc w:val="both"/>
              <w:rPr>
                <w:rFonts w:ascii="Arial" w:eastAsia="Arial" w:hAnsi="Arial" w:cs="Arial"/>
              </w:rPr>
            </w:pPr>
            <w:r w:rsidRPr="003836A1">
              <w:rPr>
                <w:rFonts w:ascii="Arial" w:eastAsia="Arial" w:hAnsi="Arial" w:cs="Arial"/>
              </w:rPr>
              <w:t xml:space="preserve">Tal delimitación de estas áreas o zonas debe obedecer a principios de razonabilidad y proporcionalidad, con el fin de proteger el interés público, la perturbación de la tranquilidad de las personas o acciones que induzcan de mala manera a niños, niñas y adolescentes. </w:t>
            </w:r>
          </w:p>
          <w:p w14:paraId="154A820A" w14:textId="77777777" w:rsidR="00EB13AC" w:rsidRPr="003836A1" w:rsidRDefault="00EB13AC" w:rsidP="003836A1">
            <w:pPr>
              <w:pStyle w:val="Prrafodelista"/>
              <w:jc w:val="both"/>
              <w:rPr>
                <w:rFonts w:ascii="Arial" w:eastAsia="Arial" w:hAnsi="Arial" w:cs="Arial"/>
              </w:rPr>
            </w:pPr>
          </w:p>
          <w:p w14:paraId="154A820B" w14:textId="77777777" w:rsidR="00EB13AC" w:rsidRPr="003836A1" w:rsidRDefault="009F6BD0" w:rsidP="003836A1">
            <w:pPr>
              <w:pStyle w:val="Prrafodelista"/>
              <w:ind w:left="731"/>
              <w:jc w:val="both"/>
              <w:rPr>
                <w:rFonts w:ascii="Arial" w:eastAsia="Arial" w:hAnsi="Arial" w:cs="Arial"/>
              </w:rPr>
            </w:pPr>
            <w:r w:rsidRPr="003836A1">
              <w:rPr>
                <w:rFonts w:ascii="Arial" w:eastAsia="Arial" w:hAnsi="Arial" w:cs="Arial"/>
              </w:rPr>
              <w:t>Lo anterior a partir de</w:t>
            </w:r>
            <w:r w:rsidR="00EB13AC" w:rsidRPr="003836A1">
              <w:rPr>
                <w:rFonts w:ascii="Arial" w:eastAsia="Arial" w:hAnsi="Arial" w:cs="Arial"/>
              </w:rPr>
              <w:t xml:space="preserve"> consenso</w:t>
            </w:r>
            <w:r w:rsidRPr="003836A1">
              <w:rPr>
                <w:rFonts w:ascii="Arial" w:eastAsia="Arial" w:hAnsi="Arial" w:cs="Arial"/>
              </w:rPr>
              <w:t>s entre los actores clave</w:t>
            </w:r>
            <w:r w:rsidR="00EB13AC" w:rsidRPr="003836A1">
              <w:rPr>
                <w:rFonts w:ascii="Arial" w:eastAsia="Arial" w:hAnsi="Arial" w:cs="Arial"/>
              </w:rPr>
              <w:t xml:space="preserve">, la garantía de los derechos a una participación significativa, </w:t>
            </w:r>
            <w:r w:rsidRPr="003836A1">
              <w:rPr>
                <w:rFonts w:ascii="Arial" w:eastAsia="Arial" w:hAnsi="Arial" w:cs="Arial"/>
              </w:rPr>
              <w:t xml:space="preserve">el evitar restricciones absolutas según lo dispone la jurisprudencia y siempre teniendo como eje central </w:t>
            </w:r>
            <w:r w:rsidR="00EB13AC" w:rsidRPr="003836A1">
              <w:rPr>
                <w:rFonts w:ascii="Arial" w:eastAsia="Arial" w:hAnsi="Arial" w:cs="Arial"/>
              </w:rPr>
              <w:t>la prelación de los derechos de los niños, niñas y adolescentes</w:t>
            </w:r>
            <w:r w:rsidRPr="003836A1">
              <w:rPr>
                <w:rFonts w:ascii="Arial" w:eastAsia="Arial" w:hAnsi="Arial" w:cs="Arial"/>
              </w:rPr>
              <w:t>.</w:t>
            </w:r>
          </w:p>
          <w:p w14:paraId="154A820C" w14:textId="77777777" w:rsidR="00610266" w:rsidRPr="003836A1" w:rsidRDefault="00610266" w:rsidP="003836A1">
            <w:pPr>
              <w:jc w:val="both"/>
              <w:rPr>
                <w:rFonts w:ascii="Arial" w:eastAsia="Arial" w:hAnsi="Arial" w:cs="Arial"/>
              </w:rPr>
            </w:pPr>
          </w:p>
          <w:p w14:paraId="154A820D" w14:textId="77777777" w:rsidR="00610266" w:rsidRPr="003836A1" w:rsidRDefault="00F95AB8" w:rsidP="003836A1">
            <w:pPr>
              <w:pBdr>
                <w:top w:val="nil"/>
                <w:left w:val="nil"/>
                <w:bottom w:val="nil"/>
                <w:right w:val="nil"/>
                <w:between w:val="nil"/>
              </w:pBdr>
              <w:jc w:val="both"/>
              <w:rPr>
                <w:rFonts w:ascii="Arial" w:eastAsia="Arial" w:hAnsi="Arial" w:cs="Arial"/>
              </w:rPr>
            </w:pPr>
            <w:r w:rsidRPr="003836A1">
              <w:rPr>
                <w:rFonts w:ascii="Arial" w:eastAsia="Arial" w:hAnsi="Arial" w:cs="Arial"/>
                <w:b/>
              </w:rPr>
              <w:t>Parágrafo:</w:t>
            </w:r>
            <w:r w:rsidRPr="003836A1">
              <w:rPr>
                <w:rFonts w:ascii="Arial" w:eastAsia="Arial" w:hAnsi="Arial" w:cs="Arial"/>
              </w:rPr>
              <w:t xml:space="preserve"> Dichos lineamientos estarán encaminados a sensibilizar, proteger y concientizar a la ciudadanía en general sobre los perjuicios del consumo de sustancias psicoactivas en lugares públicos y sus alrededores, así como de las consecuencias nocivas tanto de su uso, como de la exposición de algunas de estas en el ambiente donde se encuentren niños, niñas, y adolescentes.</w:t>
            </w:r>
          </w:p>
          <w:p w14:paraId="154A820E" w14:textId="77777777" w:rsidR="00610266" w:rsidRPr="003836A1" w:rsidRDefault="00610266" w:rsidP="003836A1">
            <w:pPr>
              <w:jc w:val="both"/>
              <w:rPr>
                <w:rFonts w:ascii="Arial" w:eastAsia="Arial" w:hAnsi="Arial" w:cs="Arial"/>
              </w:rPr>
            </w:pPr>
          </w:p>
        </w:tc>
      </w:tr>
      <w:tr w:rsidR="003836A1" w:rsidRPr="003836A1" w14:paraId="154A8212" w14:textId="77777777">
        <w:tc>
          <w:tcPr>
            <w:tcW w:w="9067" w:type="dxa"/>
            <w:tcBorders>
              <w:top w:val="single" w:sz="4" w:space="0" w:color="000000"/>
              <w:left w:val="single" w:sz="4" w:space="0" w:color="000000"/>
              <w:bottom w:val="single" w:sz="4" w:space="0" w:color="000000"/>
              <w:right w:val="single" w:sz="4" w:space="0" w:color="000000"/>
            </w:tcBorders>
          </w:tcPr>
          <w:p w14:paraId="154A8210" w14:textId="77777777" w:rsidR="00610266" w:rsidRPr="003836A1" w:rsidRDefault="00F95AB8" w:rsidP="003836A1">
            <w:pPr>
              <w:ind w:right="115"/>
              <w:jc w:val="both"/>
              <w:rPr>
                <w:rFonts w:ascii="Arial" w:eastAsia="Arial" w:hAnsi="Arial" w:cs="Arial"/>
              </w:rPr>
            </w:pPr>
            <w:r w:rsidRPr="003836A1">
              <w:rPr>
                <w:rFonts w:ascii="Arial" w:eastAsia="Arial" w:hAnsi="Arial" w:cs="Arial"/>
                <w:b/>
              </w:rPr>
              <w:t xml:space="preserve">Artículo 4. Entidades Responsables. </w:t>
            </w:r>
            <w:r w:rsidRPr="003836A1">
              <w:rPr>
                <w:rFonts w:ascii="Arial" w:eastAsia="Arial" w:hAnsi="Arial" w:cs="Arial"/>
              </w:rPr>
              <w:t>La Administración Distrital a través de las entidades competentes para el efecto según corresponda, coordinará las acciones tendientes a la implementación del Acuerdo. Lo anterior, de conformidad con los presupuestos con que cuente cada una de las entidades involucradas, en consonancia con los planes, metas y programas dispuestos para el efecto.</w:t>
            </w:r>
          </w:p>
          <w:p w14:paraId="154A8211" w14:textId="77777777" w:rsidR="00610266" w:rsidRPr="003836A1" w:rsidRDefault="00610266" w:rsidP="003836A1">
            <w:pPr>
              <w:pBdr>
                <w:top w:val="nil"/>
                <w:left w:val="nil"/>
                <w:bottom w:val="nil"/>
                <w:right w:val="nil"/>
                <w:between w:val="nil"/>
              </w:pBdr>
              <w:jc w:val="both"/>
              <w:rPr>
                <w:rFonts w:ascii="Arial" w:eastAsia="Arial" w:hAnsi="Arial" w:cs="Arial"/>
                <w:b/>
              </w:rPr>
            </w:pPr>
          </w:p>
        </w:tc>
      </w:tr>
      <w:tr w:rsidR="00610266" w:rsidRPr="003836A1" w14:paraId="154A8215" w14:textId="77777777">
        <w:tc>
          <w:tcPr>
            <w:tcW w:w="9067" w:type="dxa"/>
            <w:tcBorders>
              <w:top w:val="single" w:sz="4" w:space="0" w:color="000000"/>
              <w:left w:val="single" w:sz="4" w:space="0" w:color="000000"/>
              <w:bottom w:val="single" w:sz="4" w:space="0" w:color="000000"/>
              <w:right w:val="single" w:sz="4" w:space="0" w:color="000000"/>
            </w:tcBorders>
          </w:tcPr>
          <w:p w14:paraId="154A8213" w14:textId="77777777" w:rsidR="00610266" w:rsidRPr="003836A1" w:rsidRDefault="00F95AB8" w:rsidP="003836A1">
            <w:pPr>
              <w:jc w:val="both"/>
              <w:rPr>
                <w:rFonts w:ascii="Arial" w:eastAsia="Arial" w:hAnsi="Arial" w:cs="Arial"/>
              </w:rPr>
            </w:pPr>
            <w:r w:rsidRPr="003836A1">
              <w:rPr>
                <w:rFonts w:ascii="Arial" w:eastAsia="Arial" w:hAnsi="Arial" w:cs="Arial"/>
                <w:b/>
              </w:rPr>
              <w:t>Artículo 5. Vigencia.</w:t>
            </w:r>
            <w:r w:rsidRPr="003836A1">
              <w:rPr>
                <w:rFonts w:ascii="Arial" w:eastAsia="Arial" w:hAnsi="Arial" w:cs="Arial"/>
              </w:rPr>
              <w:t xml:space="preserve"> El presente Acuerdo rige a partir de la fecha de su publicación.</w:t>
            </w:r>
          </w:p>
          <w:p w14:paraId="154A8214" w14:textId="77777777" w:rsidR="00610266" w:rsidRPr="003836A1" w:rsidRDefault="00610266" w:rsidP="003836A1">
            <w:pPr>
              <w:rPr>
                <w:rFonts w:ascii="Arial" w:eastAsia="Arial" w:hAnsi="Arial" w:cs="Arial"/>
              </w:rPr>
            </w:pPr>
          </w:p>
        </w:tc>
      </w:tr>
    </w:tbl>
    <w:p w14:paraId="154A8216" w14:textId="77777777" w:rsidR="00610266" w:rsidRPr="003836A1" w:rsidRDefault="00610266" w:rsidP="003836A1">
      <w:pPr>
        <w:pBdr>
          <w:top w:val="nil"/>
          <w:left w:val="nil"/>
          <w:bottom w:val="nil"/>
          <w:right w:val="nil"/>
          <w:between w:val="nil"/>
        </w:pBdr>
        <w:jc w:val="both"/>
        <w:rPr>
          <w:rFonts w:ascii="Arial" w:eastAsia="Arial" w:hAnsi="Arial" w:cs="Arial"/>
          <w:i/>
        </w:rPr>
      </w:pPr>
    </w:p>
    <w:p w14:paraId="154A8217" w14:textId="77777777" w:rsidR="00610266" w:rsidRPr="003836A1" w:rsidRDefault="00610266" w:rsidP="003836A1">
      <w:pPr>
        <w:rPr>
          <w:rFonts w:ascii="Arial" w:hAnsi="Arial" w:cs="Arial"/>
        </w:rPr>
      </w:pPr>
    </w:p>
    <w:p w14:paraId="154A8218" w14:textId="77777777" w:rsidR="00610266" w:rsidRPr="003836A1" w:rsidRDefault="00610266" w:rsidP="003836A1">
      <w:pPr>
        <w:rPr>
          <w:rFonts w:ascii="Arial" w:hAnsi="Arial" w:cs="Arial"/>
        </w:rPr>
      </w:pPr>
    </w:p>
    <w:p w14:paraId="154A8219" w14:textId="77777777" w:rsidR="00610266" w:rsidRPr="003836A1" w:rsidRDefault="00610266" w:rsidP="003836A1">
      <w:pPr>
        <w:rPr>
          <w:rFonts w:ascii="Arial" w:hAnsi="Arial" w:cs="Arial"/>
        </w:rPr>
      </w:pPr>
    </w:p>
    <w:p w14:paraId="154A821A" w14:textId="77777777" w:rsidR="00610266" w:rsidRPr="003836A1" w:rsidRDefault="00610266" w:rsidP="003836A1">
      <w:pPr>
        <w:rPr>
          <w:rFonts w:ascii="Arial" w:hAnsi="Arial" w:cs="Arial"/>
        </w:rPr>
      </w:pPr>
    </w:p>
    <w:p w14:paraId="154A821B" w14:textId="77777777" w:rsidR="00610266" w:rsidRPr="003836A1" w:rsidRDefault="00610266" w:rsidP="003836A1">
      <w:pPr>
        <w:rPr>
          <w:rFonts w:ascii="Arial" w:hAnsi="Arial" w:cs="Arial"/>
        </w:rPr>
      </w:pPr>
    </w:p>
    <w:p w14:paraId="154A821C" w14:textId="77777777" w:rsidR="00610266" w:rsidRPr="003836A1" w:rsidRDefault="00610266" w:rsidP="003836A1">
      <w:pPr>
        <w:rPr>
          <w:rFonts w:ascii="Arial" w:hAnsi="Arial" w:cs="Arial"/>
        </w:rPr>
      </w:pPr>
    </w:p>
    <w:p w14:paraId="154A821D" w14:textId="77777777" w:rsidR="00610266" w:rsidRPr="003836A1" w:rsidRDefault="00610266" w:rsidP="003836A1">
      <w:pPr>
        <w:rPr>
          <w:rFonts w:ascii="Arial" w:hAnsi="Arial" w:cs="Arial"/>
        </w:rPr>
      </w:pPr>
    </w:p>
    <w:p w14:paraId="154A821E" w14:textId="77777777" w:rsidR="00610266" w:rsidRPr="003836A1" w:rsidRDefault="00610266" w:rsidP="003836A1">
      <w:pPr>
        <w:rPr>
          <w:rFonts w:ascii="Arial" w:hAnsi="Arial" w:cs="Arial"/>
        </w:rPr>
      </w:pPr>
    </w:p>
    <w:p w14:paraId="154A821F" w14:textId="77777777" w:rsidR="00610266" w:rsidRPr="003836A1" w:rsidRDefault="00610266" w:rsidP="003836A1">
      <w:pPr>
        <w:rPr>
          <w:rFonts w:ascii="Arial" w:hAnsi="Arial" w:cs="Arial"/>
        </w:rPr>
      </w:pPr>
    </w:p>
    <w:p w14:paraId="154A8220" w14:textId="77777777" w:rsidR="00610266" w:rsidRPr="003836A1" w:rsidRDefault="00610266" w:rsidP="003836A1">
      <w:pPr>
        <w:rPr>
          <w:rFonts w:ascii="Arial" w:hAnsi="Arial" w:cs="Arial"/>
        </w:rPr>
      </w:pPr>
    </w:p>
    <w:p w14:paraId="154A8221" w14:textId="77777777" w:rsidR="00610266" w:rsidRPr="003836A1" w:rsidRDefault="00610266" w:rsidP="003836A1">
      <w:pPr>
        <w:rPr>
          <w:rFonts w:ascii="Arial" w:hAnsi="Arial" w:cs="Arial"/>
        </w:rPr>
      </w:pPr>
    </w:p>
    <w:p w14:paraId="154A8222" w14:textId="77777777" w:rsidR="00610266" w:rsidRPr="003836A1" w:rsidRDefault="00610266" w:rsidP="003836A1">
      <w:pPr>
        <w:rPr>
          <w:rFonts w:ascii="Arial" w:hAnsi="Arial" w:cs="Arial"/>
        </w:rPr>
      </w:pPr>
    </w:p>
    <w:p w14:paraId="154A8223" w14:textId="77777777" w:rsidR="00610266" w:rsidRPr="003836A1" w:rsidRDefault="00610266" w:rsidP="003836A1">
      <w:pPr>
        <w:rPr>
          <w:rFonts w:ascii="Arial" w:hAnsi="Arial" w:cs="Arial"/>
        </w:rPr>
      </w:pPr>
    </w:p>
    <w:p w14:paraId="154A8224" w14:textId="77777777" w:rsidR="00610266" w:rsidRPr="003836A1" w:rsidRDefault="00610266" w:rsidP="003836A1">
      <w:pPr>
        <w:rPr>
          <w:rFonts w:ascii="Arial" w:hAnsi="Arial" w:cs="Arial"/>
        </w:rPr>
      </w:pPr>
    </w:p>
    <w:p w14:paraId="154A8225" w14:textId="77777777" w:rsidR="00610266" w:rsidRPr="003836A1" w:rsidRDefault="00610266" w:rsidP="003836A1">
      <w:pPr>
        <w:rPr>
          <w:rFonts w:ascii="Arial" w:hAnsi="Arial" w:cs="Arial"/>
        </w:rPr>
      </w:pPr>
    </w:p>
    <w:p w14:paraId="154A8226" w14:textId="77777777" w:rsidR="00610266" w:rsidRPr="003836A1" w:rsidRDefault="00610266" w:rsidP="003836A1">
      <w:pPr>
        <w:rPr>
          <w:rFonts w:ascii="Arial" w:hAnsi="Arial" w:cs="Arial"/>
        </w:rPr>
      </w:pPr>
    </w:p>
    <w:p w14:paraId="154A8227" w14:textId="77777777" w:rsidR="00610266" w:rsidRPr="003836A1" w:rsidRDefault="00F95AB8" w:rsidP="003836A1">
      <w:pPr>
        <w:jc w:val="center"/>
        <w:rPr>
          <w:rFonts w:ascii="Arial" w:eastAsia="Arial" w:hAnsi="Arial" w:cs="Arial"/>
          <w:b/>
        </w:rPr>
      </w:pPr>
      <w:r w:rsidRPr="003836A1">
        <w:rPr>
          <w:rFonts w:ascii="Arial" w:eastAsia="Arial" w:hAnsi="Arial" w:cs="Arial"/>
          <w:b/>
        </w:rPr>
        <w:t xml:space="preserve">REFERENCIAS </w:t>
      </w:r>
    </w:p>
    <w:p w14:paraId="154A8228" w14:textId="77777777" w:rsidR="00610266" w:rsidRPr="003836A1" w:rsidRDefault="00610266" w:rsidP="003836A1">
      <w:pPr>
        <w:jc w:val="center"/>
        <w:rPr>
          <w:rFonts w:ascii="Arial" w:eastAsia="Arial" w:hAnsi="Arial" w:cs="Arial"/>
          <w:b/>
        </w:rPr>
      </w:pPr>
    </w:p>
    <w:p w14:paraId="154A8229"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Centro Clínico de Adicciones (2018). </w:t>
      </w:r>
      <w:r w:rsidRPr="003836A1">
        <w:rPr>
          <w:rFonts w:ascii="Arial" w:eastAsia="Arial" w:hAnsi="Arial" w:cs="Arial"/>
          <w:i/>
        </w:rPr>
        <w:t>Como afecta el consumo de droga en el aprendizaje de los jóvenes.</w:t>
      </w:r>
      <w:r w:rsidRPr="003836A1">
        <w:rPr>
          <w:rFonts w:ascii="Arial" w:eastAsia="Arial" w:hAnsi="Arial" w:cs="Arial"/>
        </w:rPr>
        <w:t xml:space="preserve"> https://www.ccadicciones.es/el-consumo-de-droga-en-el-aprendizaje/</w:t>
      </w:r>
    </w:p>
    <w:p w14:paraId="154A822A" w14:textId="77777777" w:rsidR="00610266" w:rsidRPr="003836A1" w:rsidRDefault="00610266" w:rsidP="003836A1">
      <w:pPr>
        <w:jc w:val="both"/>
        <w:rPr>
          <w:rFonts w:ascii="Arial" w:eastAsia="Arial" w:hAnsi="Arial" w:cs="Arial"/>
        </w:rPr>
      </w:pPr>
    </w:p>
    <w:p w14:paraId="154A822B"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Centros para el Control y la Prevención de Enfermedades (s.f.) </w:t>
      </w:r>
      <w:r w:rsidRPr="003836A1">
        <w:rPr>
          <w:rFonts w:ascii="Arial" w:eastAsia="Arial" w:hAnsi="Arial" w:cs="Arial"/>
          <w:i/>
        </w:rPr>
        <w:t xml:space="preserve">El humo de marihuana de segunda mano. </w:t>
      </w:r>
      <w:r w:rsidRPr="003836A1">
        <w:rPr>
          <w:rFonts w:ascii="Arial" w:eastAsia="Arial" w:hAnsi="Arial" w:cs="Arial"/>
        </w:rPr>
        <w:t>https://www.cdc.gov/marijuana/health-effects/es/second-hand-smoke.html</w:t>
      </w:r>
    </w:p>
    <w:p w14:paraId="154A822C" w14:textId="77777777" w:rsidR="00610266" w:rsidRPr="003836A1" w:rsidRDefault="00610266" w:rsidP="003836A1">
      <w:pPr>
        <w:jc w:val="both"/>
        <w:rPr>
          <w:rFonts w:ascii="Arial" w:eastAsia="Arial" w:hAnsi="Arial" w:cs="Arial"/>
        </w:rPr>
      </w:pPr>
    </w:p>
    <w:p w14:paraId="154A822D"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National Institute on Drug Abuse (s.f.). </w:t>
      </w:r>
      <w:r w:rsidRPr="003836A1">
        <w:rPr>
          <w:rFonts w:ascii="Arial" w:eastAsia="Arial" w:hAnsi="Arial" w:cs="Arial"/>
          <w:i/>
        </w:rPr>
        <w:t>¿Cuáles son los efectos de la exposición secundaria al humo de la marihuana?</w:t>
      </w:r>
      <w:r w:rsidRPr="003836A1">
        <w:rPr>
          <w:rFonts w:ascii="Arial" w:eastAsia="Arial" w:hAnsi="Arial" w:cs="Arial"/>
        </w:rPr>
        <w:t xml:space="preserve"> https://nida.nih.gov/es/publicaciones/serie-de-reportes/la-marihuana/cuales-son-los-efectos-de-la-exposicion-secundaria-al-humo-de-la-marihuana</w:t>
      </w:r>
    </w:p>
    <w:p w14:paraId="154A822E" w14:textId="77777777" w:rsidR="00610266" w:rsidRPr="003836A1" w:rsidRDefault="00610266" w:rsidP="003836A1">
      <w:pPr>
        <w:jc w:val="both"/>
        <w:rPr>
          <w:rFonts w:ascii="Arial" w:eastAsia="Arial" w:hAnsi="Arial" w:cs="Arial"/>
        </w:rPr>
      </w:pPr>
    </w:p>
    <w:p w14:paraId="154A822F"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Organización Panamericana de la Salud (s.f.). </w:t>
      </w:r>
      <w:r w:rsidRPr="003836A1">
        <w:rPr>
          <w:rFonts w:ascii="Arial" w:eastAsia="Arial" w:hAnsi="Arial" w:cs="Arial"/>
          <w:i/>
        </w:rPr>
        <w:t xml:space="preserve">Abuso de sustancias. </w:t>
      </w:r>
      <w:hyperlink r:id="rId126" w:anchor=":~:text=Las%20sustancias%20psicoactivas%20son%20diversos,pensamientos%2C%20emociones%20y%20el%20comportamiento">
        <w:r w:rsidRPr="003836A1">
          <w:rPr>
            <w:rFonts w:ascii="Arial" w:eastAsia="Arial" w:hAnsi="Arial" w:cs="Arial"/>
          </w:rPr>
          <w:t>https://www.paho.org/es/temas/abuso-sustancias#:~:text=Las%20sustancias%20psicoactivas%20son%20diversos,pensamientos%2C%20emociones%20y%20el%20comportamiento</w:t>
        </w:r>
      </w:hyperlink>
      <w:r w:rsidRPr="003836A1">
        <w:rPr>
          <w:rFonts w:ascii="Arial" w:eastAsia="Arial" w:hAnsi="Arial" w:cs="Arial"/>
        </w:rPr>
        <w:t>.</w:t>
      </w:r>
    </w:p>
    <w:p w14:paraId="154A8230" w14:textId="77777777" w:rsidR="00610266" w:rsidRPr="003836A1" w:rsidRDefault="00610266" w:rsidP="003836A1">
      <w:pPr>
        <w:jc w:val="both"/>
        <w:rPr>
          <w:rFonts w:ascii="Arial" w:eastAsia="Arial" w:hAnsi="Arial" w:cs="Arial"/>
        </w:rPr>
      </w:pPr>
    </w:p>
    <w:p w14:paraId="154A8231" w14:textId="77777777" w:rsidR="00610266" w:rsidRPr="003836A1" w:rsidRDefault="00F95AB8" w:rsidP="003836A1">
      <w:pPr>
        <w:jc w:val="both"/>
        <w:rPr>
          <w:rFonts w:ascii="Arial" w:eastAsia="Arial" w:hAnsi="Arial" w:cs="Arial"/>
        </w:rPr>
      </w:pPr>
      <w:r w:rsidRPr="003836A1">
        <w:rPr>
          <w:rFonts w:ascii="Arial" w:eastAsia="Arial" w:hAnsi="Arial" w:cs="Arial"/>
        </w:rPr>
        <w:t xml:space="preserve">Secretaría Distrital de Salud y Oficina de las Naciones Unidas contra la Droga y el Delito (2022). </w:t>
      </w:r>
      <w:r w:rsidRPr="003836A1">
        <w:rPr>
          <w:rFonts w:ascii="Arial" w:eastAsia="Arial" w:hAnsi="Arial" w:cs="Arial"/>
          <w:i/>
        </w:rPr>
        <w:t xml:space="preserve">Estudio de consumo de sustancias psicoactivas en Bogotá D.C. </w:t>
      </w:r>
      <w:hyperlink r:id="rId127">
        <w:r w:rsidRPr="003836A1">
          <w:rPr>
            <w:rFonts w:ascii="Arial" w:eastAsia="Arial" w:hAnsi="Arial" w:cs="Arial"/>
          </w:rPr>
          <w:t>https://www.unodc.org/documents/colombia/2023/septiembre-9/estudio_de_consumo_de_sustancias_psicoactivas_bogota_2022.pdf</w:t>
        </w:r>
      </w:hyperlink>
    </w:p>
    <w:p w14:paraId="154A8232" w14:textId="77777777" w:rsidR="00610266" w:rsidRPr="003836A1" w:rsidRDefault="00610266" w:rsidP="003836A1">
      <w:pPr>
        <w:jc w:val="both"/>
        <w:rPr>
          <w:rFonts w:ascii="Arial" w:eastAsia="Arial" w:hAnsi="Arial" w:cs="Arial"/>
        </w:rPr>
      </w:pPr>
    </w:p>
    <w:p w14:paraId="154A8233" w14:textId="77777777" w:rsidR="009F6077" w:rsidRPr="003836A1" w:rsidRDefault="009F6077" w:rsidP="003836A1">
      <w:pPr>
        <w:jc w:val="both"/>
        <w:rPr>
          <w:rFonts w:ascii="Arial" w:hAnsi="Arial" w:cs="Arial"/>
          <w:shd w:val="clear" w:color="auto" w:fill="FFFFFF"/>
        </w:rPr>
      </w:pPr>
      <w:r w:rsidRPr="003836A1">
        <w:rPr>
          <w:rFonts w:ascii="Arial" w:hAnsi="Arial" w:cs="Arial"/>
          <w:shd w:val="clear" w:color="auto" w:fill="FFFFFF"/>
        </w:rPr>
        <w:t xml:space="preserve">Secretaría Distrital de Salud (2024). </w:t>
      </w:r>
      <w:r w:rsidRPr="003836A1">
        <w:rPr>
          <w:rFonts w:ascii="Arial" w:hAnsi="Arial" w:cs="Arial"/>
          <w:i/>
          <w:shd w:val="clear" w:color="auto" w:fill="FFFFFF"/>
        </w:rPr>
        <w:t>Observatorio de Salud de Bogotá-SaluData.  Consumo abusivo o problemático de SPA en población general en Bogotá D.C.</w:t>
      </w:r>
      <w:r w:rsidRPr="003836A1">
        <w:rPr>
          <w:rFonts w:ascii="Arial" w:hAnsi="Arial" w:cs="Arial"/>
          <w:shd w:val="clear" w:color="auto" w:fill="FFFFFF"/>
        </w:rPr>
        <w:t xml:space="preserve"> </w:t>
      </w:r>
      <w:hyperlink r:id="rId128" w:history="1">
        <w:r w:rsidRPr="008248F5">
          <w:rPr>
            <w:rStyle w:val="Hipervnculo"/>
            <w:rFonts w:ascii="Arial" w:hAnsi="Arial" w:cs="Arial"/>
            <w:color w:val="auto"/>
            <w:u w:val="none"/>
            <w:shd w:val="clear" w:color="auto" w:fill="FFFFFF"/>
          </w:rPr>
          <w:t>https://saludata.saludcapital.gov.co/osb/</w:t>
        </w:r>
      </w:hyperlink>
    </w:p>
    <w:p w14:paraId="154A8234" w14:textId="77777777" w:rsidR="009F6077" w:rsidRPr="003836A1" w:rsidRDefault="009F6077" w:rsidP="003836A1">
      <w:pPr>
        <w:jc w:val="both"/>
        <w:rPr>
          <w:rFonts w:ascii="Arial" w:eastAsia="Arial" w:hAnsi="Arial" w:cs="Arial"/>
        </w:rPr>
      </w:pPr>
    </w:p>
    <w:p w14:paraId="154A8235" w14:textId="77777777" w:rsidR="00610266" w:rsidRPr="003836A1" w:rsidRDefault="003151A2" w:rsidP="003836A1">
      <w:pPr>
        <w:jc w:val="both"/>
        <w:rPr>
          <w:rFonts w:ascii="Arial" w:eastAsia="Arial" w:hAnsi="Arial" w:cs="Arial"/>
        </w:rPr>
      </w:pPr>
      <w:bookmarkStart w:id="29" w:name="_heading=h.3as4poj" w:colFirst="0" w:colLast="0"/>
      <w:bookmarkEnd w:id="29"/>
      <w:r w:rsidRPr="003836A1">
        <w:rPr>
          <w:rFonts w:ascii="Arial" w:eastAsia="Arial" w:hAnsi="Arial" w:cs="Arial"/>
        </w:rPr>
        <w:t xml:space="preserve">Secretaría de Educación del Distrito (2024). </w:t>
      </w:r>
      <w:r w:rsidRPr="003836A1">
        <w:rPr>
          <w:rFonts w:ascii="Arial" w:eastAsia="Arial" w:hAnsi="Arial" w:cs="Arial"/>
          <w:i/>
        </w:rPr>
        <w:t xml:space="preserve">Respuesta a la Proposición 1009 de 2024 radicada en la Comisión de Gobierno.  </w:t>
      </w:r>
      <w:r w:rsidRPr="003836A1">
        <w:rPr>
          <w:rFonts w:ascii="Arial" w:eastAsia="Arial" w:hAnsi="Arial" w:cs="Arial"/>
        </w:rPr>
        <w:t xml:space="preserve">[Archivo pdf] </w:t>
      </w:r>
    </w:p>
    <w:p w14:paraId="154A8236" w14:textId="77777777" w:rsidR="00610266" w:rsidRPr="003836A1" w:rsidRDefault="00610266" w:rsidP="003836A1">
      <w:pPr>
        <w:rPr>
          <w:rFonts w:ascii="Arial" w:hAnsi="Arial" w:cs="Arial"/>
        </w:rPr>
      </w:pPr>
    </w:p>
    <w:sectPr w:rsidR="00610266" w:rsidRPr="003836A1">
      <w:pgSz w:w="12240" w:h="15840"/>
      <w:pgMar w:top="2520" w:right="1580" w:bottom="280" w:left="1580" w:header="1138"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A8241" w14:textId="77777777" w:rsidR="00CF3A62" w:rsidRDefault="00CF3A62">
      <w:r>
        <w:separator/>
      </w:r>
    </w:p>
  </w:endnote>
  <w:endnote w:type="continuationSeparator" w:id="0">
    <w:p w14:paraId="154A8242" w14:textId="77777777" w:rsidR="00CF3A62" w:rsidRDefault="00CF3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MT">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A823F" w14:textId="77777777" w:rsidR="00CF3A62" w:rsidRDefault="00CF3A62">
      <w:r>
        <w:separator/>
      </w:r>
    </w:p>
  </w:footnote>
  <w:footnote w:type="continuationSeparator" w:id="0">
    <w:p w14:paraId="154A8240" w14:textId="77777777" w:rsidR="00CF3A62" w:rsidRDefault="00CF3A62">
      <w:r>
        <w:continuationSeparator/>
      </w:r>
    </w:p>
  </w:footnote>
  <w:footnote w:id="1">
    <w:p w14:paraId="154A8259" w14:textId="77777777" w:rsidR="001935F5" w:rsidRDefault="001935F5">
      <w:pPr>
        <w:widowControl/>
        <w:pBdr>
          <w:top w:val="nil"/>
          <w:left w:val="nil"/>
          <w:bottom w:val="nil"/>
          <w:right w:val="nil"/>
          <w:between w:val="nil"/>
        </w:pBdr>
        <w:jc w:val="both"/>
        <w:rPr>
          <w:rFonts w:ascii="Arial" w:eastAsia="Arial" w:hAnsi="Arial" w:cs="Arial"/>
          <w:color w:val="000000"/>
          <w:sz w:val="16"/>
          <w:szCs w:val="16"/>
        </w:rPr>
      </w:pPr>
      <w:r>
        <w:rPr>
          <w:vertAlign w:val="superscript"/>
        </w:rPr>
        <w:footnoteRef/>
      </w:r>
      <w:r>
        <w:rPr>
          <w:rFonts w:ascii="Arial" w:eastAsia="Arial" w:hAnsi="Arial" w:cs="Arial"/>
          <w:color w:val="000000"/>
          <w:sz w:val="16"/>
          <w:szCs w:val="16"/>
        </w:rPr>
        <w:t xml:space="preserve"> Ministerio de Justicia y del Derecho. (s.f.). Sustancias Psicoactivas. https://www.minjusticia.gov.co/programas-co/ODC/Paginas/Sustancias-Psicoactivas.aspx</w:t>
      </w:r>
    </w:p>
  </w:footnote>
  <w:footnote w:id="2">
    <w:p w14:paraId="154A825A" w14:textId="77777777" w:rsidR="001935F5" w:rsidRDefault="001935F5">
      <w:pPr>
        <w:pStyle w:val="Ttulo2"/>
        <w:ind w:firstLine="119"/>
        <w:jc w:val="both"/>
      </w:pPr>
      <w:r>
        <w:rPr>
          <w:vertAlign w:val="superscript"/>
        </w:rPr>
        <w:footnoteRef/>
      </w:r>
      <w:r>
        <w:t xml:space="preserve"> </w:t>
      </w:r>
      <w:r>
        <w:rPr>
          <w:b w:val="0"/>
          <w:sz w:val="16"/>
          <w:szCs w:val="16"/>
        </w:rPr>
        <w:t xml:space="preserve">Organización de Naciones Unidas. (14 de marzo de 2019). </w:t>
      </w:r>
      <w:r>
        <w:rPr>
          <w:b w:val="0"/>
          <w:color w:val="000000"/>
          <w:sz w:val="16"/>
          <w:szCs w:val="16"/>
        </w:rPr>
        <w:t>Directrices Internacionales sobre Derechos Humanos y Política de Drogas</w:t>
      </w:r>
      <w:r>
        <w:rPr>
          <w:b w:val="0"/>
          <w:sz w:val="16"/>
          <w:szCs w:val="16"/>
        </w:rPr>
        <w:t xml:space="preserve"> https://www.undp.org/es/publications/directrices-internacionales-sobre-derechos-humanos-y-politica-de-drogas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A8243" w14:textId="77777777" w:rsidR="001935F5" w:rsidRDefault="001935F5">
    <w:pPr>
      <w:pBdr>
        <w:top w:val="nil"/>
        <w:left w:val="nil"/>
        <w:bottom w:val="nil"/>
        <w:right w:val="nil"/>
        <w:between w:val="nil"/>
      </w:pBdr>
      <w:spacing w:line="14" w:lineRule="auto"/>
      <w:rPr>
        <w:color w:val="000000"/>
        <w:sz w:val="20"/>
        <w:szCs w:val="20"/>
      </w:rPr>
    </w:pPr>
  </w:p>
  <w:p w14:paraId="154A8244" w14:textId="77777777" w:rsidR="001935F5" w:rsidRDefault="001935F5">
    <w:pPr>
      <w:pBdr>
        <w:top w:val="nil"/>
        <w:left w:val="nil"/>
        <w:bottom w:val="nil"/>
        <w:right w:val="nil"/>
        <w:between w:val="nil"/>
      </w:pBdr>
      <w:spacing w:line="14" w:lineRule="auto"/>
      <w:rPr>
        <w:color w:val="000000"/>
        <w:sz w:val="20"/>
        <w:szCs w:val="20"/>
      </w:rPr>
    </w:pPr>
  </w:p>
  <w:tbl>
    <w:tblPr>
      <w:tblStyle w:val="a7"/>
      <w:tblW w:w="883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63"/>
      <w:gridCol w:w="4235"/>
      <w:gridCol w:w="2238"/>
    </w:tblGrid>
    <w:tr w:rsidR="001935F5" w14:paraId="154A824C" w14:textId="77777777">
      <w:trPr>
        <w:trHeight w:val="455"/>
      </w:trPr>
      <w:tc>
        <w:tcPr>
          <w:tcW w:w="2363" w:type="dxa"/>
          <w:vMerge w:val="restart"/>
        </w:tcPr>
        <w:p w14:paraId="154A8245" w14:textId="77777777" w:rsidR="001935F5" w:rsidRDefault="001935F5">
          <w:pPr>
            <w:pBdr>
              <w:top w:val="nil"/>
              <w:left w:val="nil"/>
              <w:bottom w:val="nil"/>
              <w:right w:val="nil"/>
              <w:between w:val="nil"/>
            </w:pBdr>
            <w:rPr>
              <w:color w:val="000000"/>
              <w:sz w:val="18"/>
              <w:szCs w:val="18"/>
            </w:rPr>
          </w:pPr>
        </w:p>
        <w:p w14:paraId="154A8246" w14:textId="77777777" w:rsidR="001935F5" w:rsidRDefault="001935F5">
          <w:pPr>
            <w:pBdr>
              <w:top w:val="nil"/>
              <w:left w:val="nil"/>
              <w:bottom w:val="nil"/>
              <w:right w:val="nil"/>
              <w:between w:val="nil"/>
            </w:pBdr>
            <w:rPr>
              <w:color w:val="000000"/>
              <w:sz w:val="18"/>
              <w:szCs w:val="18"/>
            </w:rPr>
          </w:pPr>
        </w:p>
        <w:p w14:paraId="154A8247" w14:textId="77777777" w:rsidR="001935F5" w:rsidRDefault="001935F5">
          <w:pPr>
            <w:pBdr>
              <w:top w:val="nil"/>
              <w:left w:val="nil"/>
              <w:bottom w:val="nil"/>
              <w:right w:val="nil"/>
              <w:between w:val="nil"/>
            </w:pBdr>
            <w:rPr>
              <w:color w:val="000000"/>
              <w:sz w:val="18"/>
              <w:szCs w:val="18"/>
            </w:rPr>
          </w:pPr>
        </w:p>
        <w:p w14:paraId="154A8248" w14:textId="77777777" w:rsidR="001935F5" w:rsidRDefault="001935F5">
          <w:pPr>
            <w:pBdr>
              <w:top w:val="nil"/>
              <w:left w:val="nil"/>
              <w:bottom w:val="nil"/>
              <w:right w:val="nil"/>
              <w:between w:val="nil"/>
            </w:pBdr>
            <w:spacing w:before="2"/>
            <w:rPr>
              <w:color w:val="000000"/>
              <w:sz w:val="21"/>
              <w:szCs w:val="21"/>
            </w:rPr>
          </w:pPr>
        </w:p>
        <w:p w14:paraId="154A8249" w14:textId="77777777" w:rsidR="001935F5" w:rsidRDefault="001935F5" w:rsidP="00C71832">
          <w:pPr>
            <w:pBdr>
              <w:top w:val="nil"/>
              <w:left w:val="nil"/>
              <w:bottom w:val="nil"/>
              <w:right w:val="nil"/>
              <w:between w:val="nil"/>
            </w:pBdr>
            <w:ind w:left="736" w:right="243" w:firstLine="44"/>
            <w:jc w:val="center"/>
            <w:rPr>
              <w:rFonts w:ascii="Arial" w:eastAsia="Arial" w:hAnsi="Arial" w:cs="Arial"/>
              <w:b/>
              <w:color w:val="000000"/>
              <w:sz w:val="16"/>
              <w:szCs w:val="16"/>
            </w:rPr>
          </w:pPr>
          <w:r>
            <w:rPr>
              <w:rFonts w:ascii="Arial" w:eastAsia="Arial" w:hAnsi="Arial" w:cs="Arial"/>
              <w:b/>
              <w:color w:val="000000"/>
              <w:sz w:val="16"/>
              <w:szCs w:val="16"/>
            </w:rPr>
            <w:t>CONCEJO DE BOGOTÁ,  D.C.</w:t>
          </w:r>
        </w:p>
      </w:tc>
      <w:tc>
        <w:tcPr>
          <w:tcW w:w="4235" w:type="dxa"/>
        </w:tcPr>
        <w:p w14:paraId="154A824A" w14:textId="77777777" w:rsidR="001935F5" w:rsidRPr="00CC65C9" w:rsidRDefault="001935F5">
          <w:pPr>
            <w:pBdr>
              <w:top w:val="nil"/>
              <w:left w:val="nil"/>
              <w:bottom w:val="nil"/>
              <w:right w:val="nil"/>
              <w:between w:val="nil"/>
            </w:pBdr>
            <w:spacing w:before="119"/>
            <w:ind w:left="676"/>
            <w:rPr>
              <w:rFonts w:ascii="Arial" w:hAnsi="Arial" w:cs="Arial"/>
              <w:color w:val="000000"/>
              <w:sz w:val="18"/>
              <w:szCs w:val="18"/>
            </w:rPr>
          </w:pPr>
          <w:r w:rsidRPr="00CC65C9">
            <w:rPr>
              <w:rFonts w:ascii="Arial" w:hAnsi="Arial" w:cs="Arial"/>
              <w:color w:val="000000"/>
              <w:sz w:val="18"/>
              <w:szCs w:val="18"/>
            </w:rPr>
            <w:t>PROCESO GESTIÓN NORMATIVA</w:t>
          </w:r>
        </w:p>
      </w:tc>
      <w:tc>
        <w:tcPr>
          <w:tcW w:w="2238" w:type="dxa"/>
        </w:tcPr>
        <w:p w14:paraId="154A824B" w14:textId="77777777" w:rsidR="001935F5" w:rsidRPr="00CC65C9" w:rsidRDefault="001935F5">
          <w:pPr>
            <w:pBdr>
              <w:top w:val="nil"/>
              <w:left w:val="nil"/>
              <w:bottom w:val="nil"/>
              <w:right w:val="nil"/>
              <w:between w:val="nil"/>
            </w:pBdr>
            <w:spacing w:before="133"/>
            <w:ind w:left="71"/>
            <w:rPr>
              <w:rFonts w:ascii="Arial" w:hAnsi="Arial" w:cs="Arial"/>
              <w:color w:val="000000"/>
              <w:sz w:val="16"/>
              <w:szCs w:val="16"/>
            </w:rPr>
          </w:pPr>
          <w:r w:rsidRPr="00CC65C9">
            <w:rPr>
              <w:rFonts w:ascii="Arial" w:hAnsi="Arial" w:cs="Arial"/>
              <w:color w:val="000000"/>
              <w:sz w:val="16"/>
              <w:szCs w:val="16"/>
            </w:rPr>
            <w:t>CÓDIGO</w:t>
          </w:r>
          <w:r w:rsidRPr="00CC65C9">
            <w:rPr>
              <w:rFonts w:ascii="Arial" w:hAnsi="Arial" w:cs="Arial"/>
              <w:color w:val="3366FF"/>
              <w:sz w:val="16"/>
              <w:szCs w:val="16"/>
            </w:rPr>
            <w:t xml:space="preserve">: </w:t>
          </w:r>
          <w:r w:rsidRPr="00CC65C9">
            <w:rPr>
              <w:rFonts w:ascii="Arial" w:hAnsi="Arial" w:cs="Arial"/>
              <w:color w:val="000000"/>
              <w:sz w:val="16"/>
              <w:szCs w:val="16"/>
            </w:rPr>
            <w:t>GNV-FO-001</w:t>
          </w:r>
        </w:p>
      </w:tc>
    </w:tr>
    <w:tr w:rsidR="001935F5" w14:paraId="154A8251" w14:textId="77777777">
      <w:trPr>
        <w:trHeight w:val="455"/>
      </w:trPr>
      <w:tc>
        <w:tcPr>
          <w:tcW w:w="2363" w:type="dxa"/>
          <w:vMerge/>
        </w:tcPr>
        <w:p w14:paraId="154A824D" w14:textId="77777777" w:rsidR="001935F5" w:rsidRDefault="001935F5">
          <w:pPr>
            <w:pBdr>
              <w:top w:val="nil"/>
              <w:left w:val="nil"/>
              <w:bottom w:val="nil"/>
              <w:right w:val="nil"/>
              <w:between w:val="nil"/>
            </w:pBdr>
            <w:spacing w:line="276" w:lineRule="auto"/>
            <w:rPr>
              <w:color w:val="000000"/>
              <w:sz w:val="16"/>
              <w:szCs w:val="16"/>
            </w:rPr>
          </w:pPr>
        </w:p>
      </w:tc>
      <w:tc>
        <w:tcPr>
          <w:tcW w:w="4235" w:type="dxa"/>
          <w:vMerge w:val="restart"/>
        </w:tcPr>
        <w:p w14:paraId="154A824E" w14:textId="77777777" w:rsidR="001935F5" w:rsidRPr="00CC65C9" w:rsidRDefault="001935F5">
          <w:pPr>
            <w:pBdr>
              <w:top w:val="nil"/>
              <w:left w:val="nil"/>
              <w:bottom w:val="nil"/>
              <w:right w:val="nil"/>
              <w:between w:val="nil"/>
            </w:pBdr>
            <w:spacing w:before="11"/>
            <w:rPr>
              <w:rFonts w:ascii="Arial" w:hAnsi="Arial" w:cs="Arial"/>
              <w:color w:val="000000"/>
              <w:sz w:val="19"/>
              <w:szCs w:val="19"/>
            </w:rPr>
          </w:pPr>
        </w:p>
        <w:p w14:paraId="154A824F" w14:textId="77777777" w:rsidR="001935F5" w:rsidRPr="00CC65C9" w:rsidRDefault="001935F5">
          <w:pPr>
            <w:pBdr>
              <w:top w:val="nil"/>
              <w:left w:val="nil"/>
              <w:bottom w:val="nil"/>
              <w:right w:val="nil"/>
              <w:between w:val="nil"/>
            </w:pBdr>
            <w:ind w:left="1617" w:right="479" w:hanging="1114"/>
            <w:rPr>
              <w:rFonts w:ascii="Arial" w:hAnsi="Arial" w:cs="Arial"/>
              <w:color w:val="000000"/>
              <w:sz w:val="20"/>
              <w:szCs w:val="20"/>
            </w:rPr>
          </w:pPr>
          <w:r w:rsidRPr="00CC65C9">
            <w:rPr>
              <w:rFonts w:ascii="Arial" w:hAnsi="Arial" w:cs="Arial"/>
              <w:color w:val="000000"/>
              <w:sz w:val="20"/>
              <w:szCs w:val="20"/>
            </w:rPr>
            <w:t>PRESENTACIÓN PROYECTOS DE ACUERDO</w:t>
          </w:r>
        </w:p>
      </w:tc>
      <w:tc>
        <w:tcPr>
          <w:tcW w:w="2238" w:type="dxa"/>
        </w:tcPr>
        <w:p w14:paraId="154A8250" w14:textId="77777777" w:rsidR="001935F5" w:rsidRPr="00CC65C9" w:rsidRDefault="001935F5">
          <w:pPr>
            <w:pBdr>
              <w:top w:val="nil"/>
              <w:left w:val="nil"/>
              <w:bottom w:val="nil"/>
              <w:right w:val="nil"/>
              <w:between w:val="nil"/>
            </w:pBdr>
            <w:spacing w:before="133"/>
            <w:ind w:left="71"/>
            <w:rPr>
              <w:rFonts w:ascii="Arial" w:hAnsi="Arial" w:cs="Arial"/>
              <w:color w:val="000000"/>
              <w:sz w:val="16"/>
              <w:szCs w:val="16"/>
            </w:rPr>
          </w:pPr>
          <w:r w:rsidRPr="00CC65C9">
            <w:rPr>
              <w:rFonts w:ascii="Arial" w:hAnsi="Arial" w:cs="Arial"/>
              <w:color w:val="000000"/>
              <w:sz w:val="16"/>
              <w:szCs w:val="16"/>
            </w:rPr>
            <w:t>VERSIÓN: 02</w:t>
          </w:r>
        </w:p>
      </w:tc>
    </w:tr>
    <w:tr w:rsidR="001935F5" w14:paraId="154A8255" w14:textId="77777777">
      <w:trPr>
        <w:trHeight w:val="451"/>
      </w:trPr>
      <w:tc>
        <w:tcPr>
          <w:tcW w:w="2363" w:type="dxa"/>
          <w:vMerge/>
        </w:tcPr>
        <w:p w14:paraId="154A8252" w14:textId="77777777" w:rsidR="001935F5" w:rsidRDefault="001935F5">
          <w:pPr>
            <w:pBdr>
              <w:top w:val="nil"/>
              <w:left w:val="nil"/>
              <w:bottom w:val="nil"/>
              <w:right w:val="nil"/>
              <w:between w:val="nil"/>
            </w:pBdr>
            <w:spacing w:line="276" w:lineRule="auto"/>
            <w:rPr>
              <w:color w:val="000000"/>
              <w:sz w:val="16"/>
              <w:szCs w:val="16"/>
            </w:rPr>
          </w:pPr>
        </w:p>
      </w:tc>
      <w:tc>
        <w:tcPr>
          <w:tcW w:w="4235" w:type="dxa"/>
          <w:vMerge/>
        </w:tcPr>
        <w:p w14:paraId="154A8253" w14:textId="77777777" w:rsidR="001935F5" w:rsidRPr="00CC65C9" w:rsidRDefault="001935F5">
          <w:pPr>
            <w:pBdr>
              <w:top w:val="nil"/>
              <w:left w:val="nil"/>
              <w:bottom w:val="nil"/>
              <w:right w:val="nil"/>
              <w:between w:val="nil"/>
            </w:pBdr>
            <w:spacing w:line="276" w:lineRule="auto"/>
            <w:rPr>
              <w:rFonts w:ascii="Arial" w:hAnsi="Arial" w:cs="Arial"/>
              <w:color w:val="000000"/>
              <w:sz w:val="16"/>
              <w:szCs w:val="16"/>
            </w:rPr>
          </w:pPr>
        </w:p>
      </w:tc>
      <w:tc>
        <w:tcPr>
          <w:tcW w:w="2238" w:type="dxa"/>
        </w:tcPr>
        <w:p w14:paraId="154A8254" w14:textId="77777777" w:rsidR="001935F5" w:rsidRPr="00CC65C9" w:rsidRDefault="001935F5">
          <w:pPr>
            <w:pBdr>
              <w:top w:val="nil"/>
              <w:left w:val="nil"/>
              <w:bottom w:val="nil"/>
              <w:right w:val="nil"/>
              <w:between w:val="nil"/>
            </w:pBdr>
            <w:spacing w:before="133"/>
            <w:ind w:left="71"/>
            <w:rPr>
              <w:rFonts w:ascii="Arial" w:hAnsi="Arial" w:cs="Arial"/>
              <w:color w:val="000000"/>
              <w:sz w:val="16"/>
              <w:szCs w:val="16"/>
            </w:rPr>
          </w:pPr>
          <w:r w:rsidRPr="00CC65C9">
            <w:rPr>
              <w:rFonts w:ascii="Arial" w:hAnsi="Arial" w:cs="Arial"/>
              <w:color w:val="000000"/>
              <w:sz w:val="16"/>
              <w:szCs w:val="16"/>
            </w:rPr>
            <w:t>FECHA: 14-Nov-2019</w:t>
          </w:r>
        </w:p>
      </w:tc>
    </w:tr>
  </w:tbl>
  <w:p w14:paraId="154A8256" w14:textId="77777777" w:rsidR="001935F5" w:rsidRDefault="001935F5">
    <w:pPr>
      <w:pBdr>
        <w:top w:val="nil"/>
        <w:left w:val="nil"/>
        <w:bottom w:val="nil"/>
        <w:right w:val="nil"/>
        <w:between w:val="nil"/>
      </w:pBdr>
      <w:spacing w:line="14" w:lineRule="auto"/>
      <w:rPr>
        <w:color w:val="000000"/>
        <w:sz w:val="20"/>
        <w:szCs w:val="20"/>
      </w:rPr>
    </w:pPr>
    <w:r>
      <w:rPr>
        <w:noProof/>
        <w:color w:val="000000"/>
        <w:lang w:val="es-419" w:eastAsia="es-419"/>
      </w:rPr>
      <w:drawing>
        <wp:anchor distT="0" distB="0" distL="0" distR="0" simplePos="0" relativeHeight="251658240" behindDoc="1" locked="0" layoutInCell="1" hidden="0" allowOverlap="1" wp14:anchorId="154A8257" wp14:editId="154A8258">
          <wp:simplePos x="0" y="0"/>
          <wp:positionH relativeFrom="page">
            <wp:posOffset>1681388</wp:posOffset>
          </wp:positionH>
          <wp:positionV relativeFrom="page">
            <wp:posOffset>757757</wp:posOffset>
          </wp:positionV>
          <wp:extent cx="423339" cy="518364"/>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23339" cy="518364"/>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41DBC"/>
    <w:multiLevelType w:val="multilevel"/>
    <w:tmpl w:val="BE14AD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4CF3839"/>
    <w:multiLevelType w:val="multilevel"/>
    <w:tmpl w:val="46406100"/>
    <w:lvl w:ilvl="0">
      <w:start w:val="5"/>
      <w:numFmt w:val="decimal"/>
      <w:lvlText w:val="%1."/>
      <w:lvlJc w:val="left"/>
      <w:pPr>
        <w:ind w:left="403" w:hanging="284"/>
      </w:pPr>
      <w:rPr>
        <w:rFonts w:ascii="Arial" w:eastAsia="Arial" w:hAnsi="Arial" w:cs="Arial"/>
        <w:b/>
        <w:sz w:val="22"/>
        <w:szCs w:val="22"/>
      </w:rPr>
    </w:lvl>
    <w:lvl w:ilvl="1">
      <w:start w:val="1"/>
      <w:numFmt w:val="decimal"/>
      <w:lvlText w:val="%1.%2"/>
      <w:lvlJc w:val="left"/>
      <w:pPr>
        <w:ind w:left="840" w:hanging="360"/>
      </w:pPr>
      <w:rPr>
        <w:rFonts w:ascii="Arial" w:eastAsia="Arial" w:hAnsi="Arial" w:cs="Arial"/>
        <w:b/>
        <w:sz w:val="22"/>
        <w:szCs w:val="22"/>
      </w:rPr>
    </w:lvl>
    <w:lvl w:ilvl="2">
      <w:numFmt w:val="bullet"/>
      <w:lvlText w:val="•"/>
      <w:lvlJc w:val="left"/>
      <w:pPr>
        <w:ind w:left="1755" w:hanging="360"/>
      </w:pPr>
    </w:lvl>
    <w:lvl w:ilvl="3">
      <w:numFmt w:val="bullet"/>
      <w:lvlText w:val="•"/>
      <w:lvlJc w:val="left"/>
      <w:pPr>
        <w:ind w:left="2671" w:hanging="360"/>
      </w:pPr>
    </w:lvl>
    <w:lvl w:ilvl="4">
      <w:numFmt w:val="bullet"/>
      <w:lvlText w:val="•"/>
      <w:lvlJc w:val="left"/>
      <w:pPr>
        <w:ind w:left="3586" w:hanging="360"/>
      </w:pPr>
    </w:lvl>
    <w:lvl w:ilvl="5">
      <w:numFmt w:val="bullet"/>
      <w:lvlText w:val="•"/>
      <w:lvlJc w:val="left"/>
      <w:pPr>
        <w:ind w:left="4502" w:hanging="360"/>
      </w:pPr>
    </w:lvl>
    <w:lvl w:ilvl="6">
      <w:numFmt w:val="bullet"/>
      <w:lvlText w:val="•"/>
      <w:lvlJc w:val="left"/>
      <w:pPr>
        <w:ind w:left="5417" w:hanging="360"/>
      </w:pPr>
    </w:lvl>
    <w:lvl w:ilvl="7">
      <w:numFmt w:val="bullet"/>
      <w:lvlText w:val="•"/>
      <w:lvlJc w:val="left"/>
      <w:pPr>
        <w:ind w:left="6333" w:hanging="360"/>
      </w:pPr>
    </w:lvl>
    <w:lvl w:ilvl="8">
      <w:numFmt w:val="bullet"/>
      <w:lvlText w:val="•"/>
      <w:lvlJc w:val="left"/>
      <w:pPr>
        <w:ind w:left="7248" w:hanging="360"/>
      </w:pPr>
    </w:lvl>
  </w:abstractNum>
  <w:abstractNum w:abstractNumId="2" w15:restartNumberingAfterBreak="0">
    <w:nsid w:val="177649D7"/>
    <w:multiLevelType w:val="multilevel"/>
    <w:tmpl w:val="16284CA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1BE12CA9"/>
    <w:multiLevelType w:val="multilevel"/>
    <w:tmpl w:val="F536E3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D1667D6"/>
    <w:multiLevelType w:val="multilevel"/>
    <w:tmpl w:val="A5A2BA20"/>
    <w:lvl w:ilvl="0">
      <w:start w:val="1"/>
      <w:numFmt w:val="lowerLetter"/>
      <w:lvlText w:val="%1)"/>
      <w:lvlJc w:val="left"/>
      <w:pPr>
        <w:ind w:left="1080" w:hanging="360"/>
      </w:pPr>
      <w:rPr>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D263567"/>
    <w:multiLevelType w:val="multilevel"/>
    <w:tmpl w:val="D1EE1FFC"/>
    <w:lvl w:ilvl="0">
      <w:start w:val="4"/>
      <w:numFmt w:val="decimal"/>
      <w:lvlText w:val="%1"/>
      <w:lvlJc w:val="left"/>
      <w:pPr>
        <w:ind w:left="360" w:hanging="360"/>
      </w:pPr>
    </w:lvl>
    <w:lvl w:ilvl="1">
      <w:start w:val="1"/>
      <w:numFmt w:val="decimal"/>
      <w:lvlText w:val="%1.%2"/>
      <w:lvlJc w:val="left"/>
      <w:pPr>
        <w:ind w:left="479" w:hanging="360"/>
      </w:pPr>
    </w:lvl>
    <w:lvl w:ilvl="2">
      <w:start w:val="1"/>
      <w:numFmt w:val="decimal"/>
      <w:lvlText w:val="%1.%2.%3"/>
      <w:lvlJc w:val="left"/>
      <w:pPr>
        <w:ind w:left="958" w:hanging="720"/>
      </w:pPr>
    </w:lvl>
    <w:lvl w:ilvl="3">
      <w:start w:val="1"/>
      <w:numFmt w:val="decimal"/>
      <w:lvlText w:val="%1.%2.%3.%4"/>
      <w:lvlJc w:val="left"/>
      <w:pPr>
        <w:ind w:left="1077" w:hanging="720"/>
      </w:pPr>
    </w:lvl>
    <w:lvl w:ilvl="4">
      <w:start w:val="1"/>
      <w:numFmt w:val="decimal"/>
      <w:lvlText w:val="%1.%2.%3.%4.%5"/>
      <w:lvlJc w:val="left"/>
      <w:pPr>
        <w:ind w:left="1556" w:hanging="1080"/>
      </w:pPr>
    </w:lvl>
    <w:lvl w:ilvl="5">
      <w:start w:val="1"/>
      <w:numFmt w:val="decimal"/>
      <w:lvlText w:val="%1.%2.%3.%4.%5.%6"/>
      <w:lvlJc w:val="left"/>
      <w:pPr>
        <w:ind w:left="1675" w:hanging="1080"/>
      </w:pPr>
    </w:lvl>
    <w:lvl w:ilvl="6">
      <w:start w:val="1"/>
      <w:numFmt w:val="decimal"/>
      <w:lvlText w:val="%1.%2.%3.%4.%5.%6.%7"/>
      <w:lvlJc w:val="left"/>
      <w:pPr>
        <w:ind w:left="2154" w:hanging="1440"/>
      </w:pPr>
    </w:lvl>
    <w:lvl w:ilvl="7">
      <w:start w:val="1"/>
      <w:numFmt w:val="decimal"/>
      <w:lvlText w:val="%1.%2.%3.%4.%5.%6.%7.%8"/>
      <w:lvlJc w:val="left"/>
      <w:pPr>
        <w:ind w:left="2273" w:hanging="1440"/>
      </w:pPr>
    </w:lvl>
    <w:lvl w:ilvl="8">
      <w:start w:val="1"/>
      <w:numFmt w:val="decimal"/>
      <w:lvlText w:val="%1.%2.%3.%4.%5.%6.%7.%8.%9"/>
      <w:lvlJc w:val="left"/>
      <w:pPr>
        <w:ind w:left="2752" w:hanging="1800"/>
      </w:pPr>
    </w:lvl>
  </w:abstractNum>
  <w:abstractNum w:abstractNumId="6" w15:restartNumberingAfterBreak="0">
    <w:nsid w:val="36FD5301"/>
    <w:multiLevelType w:val="multilevel"/>
    <w:tmpl w:val="286E56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7BD1167"/>
    <w:multiLevelType w:val="multilevel"/>
    <w:tmpl w:val="A78AE72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472E6265"/>
    <w:multiLevelType w:val="multilevel"/>
    <w:tmpl w:val="25C67D9E"/>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9" w15:restartNumberingAfterBreak="0">
    <w:nsid w:val="4B45633E"/>
    <w:multiLevelType w:val="multilevel"/>
    <w:tmpl w:val="04F69F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7132A4E"/>
    <w:multiLevelType w:val="multilevel"/>
    <w:tmpl w:val="627831CA"/>
    <w:lvl w:ilvl="0">
      <w:start w:val="1"/>
      <w:numFmt w:val="decimal"/>
      <w:lvlText w:val="%1."/>
      <w:lvlJc w:val="left"/>
      <w:pPr>
        <w:ind w:left="403" w:hanging="284"/>
      </w:pPr>
      <w:rPr>
        <w:rFonts w:ascii="Arial" w:eastAsia="Arial" w:hAnsi="Arial" w:cs="Arial"/>
        <w:b/>
        <w:sz w:val="22"/>
        <w:szCs w:val="22"/>
      </w:rPr>
    </w:lvl>
    <w:lvl w:ilvl="1">
      <w:start w:val="1"/>
      <w:numFmt w:val="decimal"/>
      <w:lvlText w:val="%2."/>
      <w:lvlJc w:val="left"/>
      <w:pPr>
        <w:ind w:left="1896" w:hanging="361"/>
      </w:pPr>
      <w:rPr>
        <w:rFonts w:ascii="Arial" w:eastAsia="Arial" w:hAnsi="Arial" w:cs="Arial"/>
        <w:b/>
        <w:i/>
        <w:sz w:val="22"/>
        <w:szCs w:val="22"/>
      </w:rPr>
    </w:lvl>
    <w:lvl w:ilvl="2">
      <w:numFmt w:val="bullet"/>
      <w:lvlText w:val="•"/>
      <w:lvlJc w:val="left"/>
      <w:pPr>
        <w:ind w:left="2697" w:hanging="361"/>
      </w:pPr>
    </w:lvl>
    <w:lvl w:ilvl="3">
      <w:numFmt w:val="bullet"/>
      <w:lvlText w:val="•"/>
      <w:lvlJc w:val="left"/>
      <w:pPr>
        <w:ind w:left="3495" w:hanging="361"/>
      </w:pPr>
    </w:lvl>
    <w:lvl w:ilvl="4">
      <w:numFmt w:val="bullet"/>
      <w:lvlText w:val="•"/>
      <w:lvlJc w:val="left"/>
      <w:pPr>
        <w:ind w:left="4293" w:hanging="361"/>
      </w:pPr>
    </w:lvl>
    <w:lvl w:ilvl="5">
      <w:numFmt w:val="bullet"/>
      <w:lvlText w:val="•"/>
      <w:lvlJc w:val="left"/>
      <w:pPr>
        <w:ind w:left="5091" w:hanging="361"/>
      </w:pPr>
    </w:lvl>
    <w:lvl w:ilvl="6">
      <w:numFmt w:val="bullet"/>
      <w:lvlText w:val="•"/>
      <w:lvlJc w:val="left"/>
      <w:pPr>
        <w:ind w:left="5888" w:hanging="361"/>
      </w:pPr>
    </w:lvl>
    <w:lvl w:ilvl="7">
      <w:numFmt w:val="bullet"/>
      <w:lvlText w:val="•"/>
      <w:lvlJc w:val="left"/>
      <w:pPr>
        <w:ind w:left="6686" w:hanging="361"/>
      </w:pPr>
    </w:lvl>
    <w:lvl w:ilvl="8">
      <w:numFmt w:val="bullet"/>
      <w:lvlText w:val="•"/>
      <w:lvlJc w:val="left"/>
      <w:pPr>
        <w:ind w:left="7484" w:hanging="361"/>
      </w:pPr>
    </w:lvl>
  </w:abstractNum>
  <w:abstractNum w:abstractNumId="11" w15:restartNumberingAfterBreak="0">
    <w:nsid w:val="5A6775A8"/>
    <w:multiLevelType w:val="multilevel"/>
    <w:tmpl w:val="E0E68B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0F907E0"/>
    <w:multiLevelType w:val="multilevel"/>
    <w:tmpl w:val="B34AAD7A"/>
    <w:lvl w:ilvl="0">
      <w:start w:val="1"/>
      <w:numFmt w:val="decimal"/>
      <w:lvlText w:val="%1."/>
      <w:lvlJc w:val="left"/>
      <w:pPr>
        <w:ind w:left="1080" w:hanging="360"/>
      </w:pPr>
      <w:rPr>
        <w:b/>
        <w:i/>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6A422373"/>
    <w:multiLevelType w:val="multilevel"/>
    <w:tmpl w:val="62C8FB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B253E4A"/>
    <w:multiLevelType w:val="multilevel"/>
    <w:tmpl w:val="D72C57C0"/>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83966ED"/>
    <w:multiLevelType w:val="hybridMultilevel"/>
    <w:tmpl w:val="D2CEBF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7FF77A01"/>
    <w:multiLevelType w:val="multilevel"/>
    <w:tmpl w:val="A786433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1"/>
  </w:num>
  <w:num w:numId="3">
    <w:abstractNumId w:val="2"/>
  </w:num>
  <w:num w:numId="4">
    <w:abstractNumId w:val="12"/>
  </w:num>
  <w:num w:numId="5">
    <w:abstractNumId w:val="13"/>
  </w:num>
  <w:num w:numId="6">
    <w:abstractNumId w:val="7"/>
  </w:num>
  <w:num w:numId="7">
    <w:abstractNumId w:val="16"/>
  </w:num>
  <w:num w:numId="8">
    <w:abstractNumId w:val="4"/>
  </w:num>
  <w:num w:numId="9">
    <w:abstractNumId w:val="0"/>
  </w:num>
  <w:num w:numId="10">
    <w:abstractNumId w:val="9"/>
  </w:num>
  <w:num w:numId="11">
    <w:abstractNumId w:val="3"/>
  </w:num>
  <w:num w:numId="12">
    <w:abstractNumId w:val="1"/>
  </w:num>
  <w:num w:numId="13">
    <w:abstractNumId w:val="10"/>
  </w:num>
  <w:num w:numId="14">
    <w:abstractNumId w:val="5"/>
  </w:num>
  <w:num w:numId="15">
    <w:abstractNumId w:val="6"/>
  </w:num>
  <w:num w:numId="16">
    <w:abstractNumId w:val="1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266"/>
    <w:rsid w:val="00014B60"/>
    <w:rsid w:val="00062206"/>
    <w:rsid w:val="00095B9E"/>
    <w:rsid w:val="000A1D2A"/>
    <w:rsid w:val="00133957"/>
    <w:rsid w:val="0015009E"/>
    <w:rsid w:val="001935F5"/>
    <w:rsid w:val="0019511F"/>
    <w:rsid w:val="001D427F"/>
    <w:rsid w:val="001D43AF"/>
    <w:rsid w:val="001D4849"/>
    <w:rsid w:val="0025452A"/>
    <w:rsid w:val="00271911"/>
    <w:rsid w:val="002A5283"/>
    <w:rsid w:val="002D1FB7"/>
    <w:rsid w:val="003151A2"/>
    <w:rsid w:val="00317E87"/>
    <w:rsid w:val="00327AFD"/>
    <w:rsid w:val="0035689C"/>
    <w:rsid w:val="003836A1"/>
    <w:rsid w:val="00394AEC"/>
    <w:rsid w:val="003C5C39"/>
    <w:rsid w:val="003C7255"/>
    <w:rsid w:val="00413DE4"/>
    <w:rsid w:val="00415021"/>
    <w:rsid w:val="004221EC"/>
    <w:rsid w:val="00441F2B"/>
    <w:rsid w:val="004B074A"/>
    <w:rsid w:val="004C373C"/>
    <w:rsid w:val="0055524A"/>
    <w:rsid w:val="0059010D"/>
    <w:rsid w:val="005C04E6"/>
    <w:rsid w:val="005D16DC"/>
    <w:rsid w:val="005D703F"/>
    <w:rsid w:val="005F7714"/>
    <w:rsid w:val="00606613"/>
    <w:rsid w:val="00610266"/>
    <w:rsid w:val="006B64AF"/>
    <w:rsid w:val="006E10D5"/>
    <w:rsid w:val="007022DD"/>
    <w:rsid w:val="00717C1D"/>
    <w:rsid w:val="00724B90"/>
    <w:rsid w:val="00736B4A"/>
    <w:rsid w:val="00777C7B"/>
    <w:rsid w:val="008248F5"/>
    <w:rsid w:val="0083004F"/>
    <w:rsid w:val="009274A0"/>
    <w:rsid w:val="00956379"/>
    <w:rsid w:val="00966B9A"/>
    <w:rsid w:val="00993641"/>
    <w:rsid w:val="009D10B9"/>
    <w:rsid w:val="009E4060"/>
    <w:rsid w:val="009F6077"/>
    <w:rsid w:val="009F6BD0"/>
    <w:rsid w:val="009F7CCC"/>
    <w:rsid w:val="00A44017"/>
    <w:rsid w:val="00A61EC7"/>
    <w:rsid w:val="00B145A7"/>
    <w:rsid w:val="00B343FE"/>
    <w:rsid w:val="00B9387E"/>
    <w:rsid w:val="00BB3D87"/>
    <w:rsid w:val="00BD446C"/>
    <w:rsid w:val="00BE50ED"/>
    <w:rsid w:val="00C01219"/>
    <w:rsid w:val="00C33AAB"/>
    <w:rsid w:val="00C62369"/>
    <w:rsid w:val="00C71832"/>
    <w:rsid w:val="00C77983"/>
    <w:rsid w:val="00CB3DD7"/>
    <w:rsid w:val="00CC28F5"/>
    <w:rsid w:val="00CC65C9"/>
    <w:rsid w:val="00CD4A60"/>
    <w:rsid w:val="00CE40CD"/>
    <w:rsid w:val="00CF3A62"/>
    <w:rsid w:val="00D37A6F"/>
    <w:rsid w:val="00D61F1A"/>
    <w:rsid w:val="00D64009"/>
    <w:rsid w:val="00D80C3E"/>
    <w:rsid w:val="00E11631"/>
    <w:rsid w:val="00E82F47"/>
    <w:rsid w:val="00E8613F"/>
    <w:rsid w:val="00E914DD"/>
    <w:rsid w:val="00EB13AC"/>
    <w:rsid w:val="00EB47BF"/>
    <w:rsid w:val="00EC29D7"/>
    <w:rsid w:val="00ED1296"/>
    <w:rsid w:val="00F22522"/>
    <w:rsid w:val="00F429A9"/>
    <w:rsid w:val="00F438E0"/>
    <w:rsid w:val="00F525E9"/>
    <w:rsid w:val="00F5339D"/>
    <w:rsid w:val="00F95AB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A7C2E"/>
  <w15:docId w15:val="{8D34D6F5-737C-4756-BFC3-ABC0016C9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MT" w:eastAsia="Arial MT" w:hAnsi="Arial MT" w:cs="Arial MT"/>
        <w:sz w:val="22"/>
        <w:szCs w:val="22"/>
        <w:lang w:val="es-ES"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ind w:left="263" w:right="116" w:hanging="144"/>
      <w:jc w:val="both"/>
      <w:outlineLvl w:val="0"/>
    </w:pPr>
    <w:rPr>
      <w:sz w:val="24"/>
      <w:szCs w:val="24"/>
    </w:rPr>
  </w:style>
  <w:style w:type="paragraph" w:styleId="Ttulo2">
    <w:name w:val="heading 2"/>
    <w:basedOn w:val="Normal"/>
    <w:next w:val="Normal"/>
    <w:pPr>
      <w:ind w:left="119"/>
      <w:outlineLvl w:val="1"/>
    </w:pPr>
    <w:rPr>
      <w:rFonts w:ascii="Arial" w:eastAsia="Arial" w:hAnsi="Arial" w:cs="Arial"/>
      <w:b/>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Pr>
  </w:style>
  <w:style w:type="table" w:customStyle="1" w:styleId="a4">
    <w:basedOn w:val="TableNormal"/>
    <w:pPr>
      <w:widowControl/>
    </w:pPr>
    <w:tblPr>
      <w:tblStyleRowBandSize w:val="1"/>
      <w:tblStyleColBandSize w:val="1"/>
      <w:tblCellMar>
        <w:left w:w="108" w:type="dxa"/>
        <w:right w:w="108" w:type="dxa"/>
      </w:tblCellMar>
    </w:tblPr>
  </w:style>
  <w:style w:type="table" w:customStyle="1" w:styleId="a5">
    <w:basedOn w:val="TableNormal"/>
    <w:pPr>
      <w:widowControl/>
    </w:pPr>
    <w:tblPr>
      <w:tblStyleRowBandSize w:val="1"/>
      <w:tblStyleColBandSize w:val="1"/>
      <w:tblCellMar>
        <w:left w:w="108" w:type="dxa"/>
        <w:right w:w="108" w:type="dxa"/>
      </w:tblCellMar>
    </w:tblPr>
  </w:style>
  <w:style w:type="table" w:customStyle="1" w:styleId="a6">
    <w:basedOn w:val="TableNormal"/>
    <w:pPr>
      <w:widowControl/>
    </w:pPr>
    <w:tblPr>
      <w:tblStyleRowBandSize w:val="1"/>
      <w:tblStyleColBandSize w:val="1"/>
      <w:tblCellMar>
        <w:left w:w="108" w:type="dxa"/>
        <w:right w:w="108" w:type="dxa"/>
      </w:tblCellMar>
    </w:tblPr>
  </w:style>
  <w:style w:type="table" w:customStyle="1" w:styleId="a7">
    <w:basedOn w:val="TableNormal"/>
    <w:tblPr>
      <w:tblStyleRowBandSize w:val="1"/>
      <w:tblStyleColBandSize w:val="1"/>
    </w:tblPr>
  </w:style>
  <w:style w:type="paragraph" w:styleId="Prrafodelista">
    <w:name w:val="List Paragraph"/>
    <w:basedOn w:val="Normal"/>
    <w:uiPriority w:val="34"/>
    <w:qFormat/>
    <w:rsid w:val="00EC29D7"/>
    <w:pPr>
      <w:ind w:left="720"/>
      <w:contextualSpacing/>
    </w:pPr>
  </w:style>
  <w:style w:type="paragraph" w:styleId="Encabezado">
    <w:name w:val="header"/>
    <w:basedOn w:val="Normal"/>
    <w:link w:val="EncabezadoCar"/>
    <w:uiPriority w:val="99"/>
    <w:unhideWhenUsed/>
    <w:rsid w:val="00095B9E"/>
    <w:pPr>
      <w:tabs>
        <w:tab w:val="center" w:pos="4419"/>
        <w:tab w:val="right" w:pos="8838"/>
      </w:tabs>
    </w:pPr>
  </w:style>
  <w:style w:type="character" w:customStyle="1" w:styleId="EncabezadoCar">
    <w:name w:val="Encabezado Car"/>
    <w:basedOn w:val="Fuentedeprrafopredeter"/>
    <w:link w:val="Encabezado"/>
    <w:uiPriority w:val="99"/>
    <w:rsid w:val="00095B9E"/>
  </w:style>
  <w:style w:type="paragraph" w:styleId="Piedepgina">
    <w:name w:val="footer"/>
    <w:basedOn w:val="Normal"/>
    <w:link w:val="PiedepginaCar"/>
    <w:uiPriority w:val="99"/>
    <w:unhideWhenUsed/>
    <w:rsid w:val="00095B9E"/>
    <w:pPr>
      <w:tabs>
        <w:tab w:val="center" w:pos="4419"/>
        <w:tab w:val="right" w:pos="8838"/>
      </w:tabs>
    </w:pPr>
  </w:style>
  <w:style w:type="character" w:customStyle="1" w:styleId="PiedepginaCar">
    <w:name w:val="Pie de página Car"/>
    <w:basedOn w:val="Fuentedeprrafopredeter"/>
    <w:link w:val="Piedepgina"/>
    <w:uiPriority w:val="99"/>
    <w:rsid w:val="00095B9E"/>
  </w:style>
  <w:style w:type="character" w:styleId="Hipervnculo">
    <w:name w:val="Hyperlink"/>
    <w:basedOn w:val="Fuentedeprrafopredeter"/>
    <w:uiPriority w:val="99"/>
    <w:unhideWhenUsed/>
    <w:rsid w:val="00BD446C"/>
    <w:rPr>
      <w:color w:val="0000FF"/>
      <w:u w:val="single"/>
    </w:rPr>
  </w:style>
  <w:style w:type="table" w:styleId="Tablaconcuadrcula">
    <w:name w:val="Table Grid"/>
    <w:basedOn w:val="Tablanormal"/>
    <w:uiPriority w:val="39"/>
    <w:rsid w:val="00966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655099">
      <w:bodyDiv w:val="1"/>
      <w:marLeft w:val="0"/>
      <w:marRight w:val="0"/>
      <w:marTop w:val="0"/>
      <w:marBottom w:val="0"/>
      <w:divBdr>
        <w:top w:val="none" w:sz="0" w:space="0" w:color="auto"/>
        <w:left w:val="none" w:sz="0" w:space="0" w:color="auto"/>
        <w:bottom w:val="none" w:sz="0" w:space="0" w:color="auto"/>
        <w:right w:val="none" w:sz="0" w:space="0" w:color="auto"/>
      </w:divBdr>
    </w:div>
    <w:div w:id="1383333958">
      <w:bodyDiv w:val="1"/>
      <w:marLeft w:val="0"/>
      <w:marRight w:val="0"/>
      <w:marTop w:val="0"/>
      <w:marBottom w:val="0"/>
      <w:divBdr>
        <w:top w:val="none" w:sz="0" w:space="0" w:color="auto"/>
        <w:left w:val="none" w:sz="0" w:space="0" w:color="auto"/>
        <w:bottom w:val="none" w:sz="0" w:space="0" w:color="auto"/>
        <w:right w:val="none" w:sz="0" w:space="0" w:color="auto"/>
      </w:divBdr>
    </w:div>
    <w:div w:id="1663968431">
      <w:bodyDiv w:val="1"/>
      <w:marLeft w:val="0"/>
      <w:marRight w:val="0"/>
      <w:marTop w:val="0"/>
      <w:marBottom w:val="0"/>
      <w:divBdr>
        <w:top w:val="none" w:sz="0" w:space="0" w:color="auto"/>
        <w:left w:val="none" w:sz="0" w:space="0" w:color="auto"/>
        <w:bottom w:val="none" w:sz="0" w:space="0" w:color="auto"/>
        <w:right w:val="none" w:sz="0" w:space="0" w:color="auto"/>
      </w:divBdr>
    </w:div>
    <w:div w:id="2030449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corteconstitucional.gov.co/Relatoria/2023/C-127-23.htm" TargetMode="External"/><Relationship Id="rId21" Type="http://schemas.openxmlformats.org/officeDocument/2006/relationships/hyperlink" Target="http://www.secretariasenado.gov.co/senado/basedoc/ley_2000_2019.html" TargetMode="External"/><Relationship Id="rId42" Type="http://schemas.openxmlformats.org/officeDocument/2006/relationships/hyperlink" Target="http://www.secretariasenado.gov.co/senado/basedoc/ley_2000_2019.html" TargetMode="External"/><Relationship Id="rId47" Type="http://schemas.openxmlformats.org/officeDocument/2006/relationships/hyperlink" Target="https://www.alcaldiabogota.gov.co/sisjur/normas/Norma1.jsp?i=14787" TargetMode="External"/><Relationship Id="rId63" Type="http://schemas.openxmlformats.org/officeDocument/2006/relationships/hyperlink" Target="https://www.alcaldiabogota.gov.co/sisjur/normas/Norma1.jsp?i=45167" TargetMode="External"/><Relationship Id="rId68" Type="http://schemas.openxmlformats.org/officeDocument/2006/relationships/hyperlink" Target="https://www.alcaldiabogota.gov.co/sisjur/normas/Norma1.jsp?i=87787" TargetMode="External"/><Relationship Id="rId84" Type="http://schemas.openxmlformats.org/officeDocument/2006/relationships/hyperlink" Target="https://sisjur.bogotajuridica.gov.co/sisjur/normas/Norma1.jsp?i=148758" TargetMode="External"/><Relationship Id="rId89" Type="http://schemas.openxmlformats.org/officeDocument/2006/relationships/hyperlink" Target="https://sisjur.bogotajuridica.gov.co/sisjur/normas/Norma1.jsp?i=153944" TargetMode="External"/><Relationship Id="rId112" Type="http://schemas.openxmlformats.org/officeDocument/2006/relationships/hyperlink" Target="https://www.corteconstitucional.gov.co/Relatoria/2023/C-127-23.htm" TargetMode="External"/><Relationship Id="rId16" Type="http://schemas.openxmlformats.org/officeDocument/2006/relationships/hyperlink" Target="http://www.secretariasenado.gov.co/senado/basedoc/ley_0715_2001_pr001.html" TargetMode="External"/><Relationship Id="rId107" Type="http://schemas.openxmlformats.org/officeDocument/2006/relationships/hyperlink" Target="https://www.alcaldiabogota.gov.co/sisjur/normas/Norma1.jsp?i=88573" TargetMode="External"/><Relationship Id="rId11" Type="http://schemas.openxmlformats.org/officeDocument/2006/relationships/hyperlink" Target="http://www.secretariasenado.gov.co/senado/basedoc/constitucion_politica_1991_pr011.html" TargetMode="External"/><Relationship Id="rId32" Type="http://schemas.openxmlformats.org/officeDocument/2006/relationships/hyperlink" Target="https://www.alcaldiabogota.gov.co/sisjur/normas/Norma1.jsp?i=88573" TargetMode="External"/><Relationship Id="rId37" Type="http://schemas.openxmlformats.org/officeDocument/2006/relationships/hyperlink" Target="https://www.alcaldiabogota.gov.co/sisjur/normas/Norma1.jsp?i=87787" TargetMode="External"/><Relationship Id="rId53" Type="http://schemas.openxmlformats.org/officeDocument/2006/relationships/hyperlink" Target="https://www.alcaldiabogota.gov.co/sisjur/normas/Norma1.jsp?i=66661" TargetMode="External"/><Relationship Id="rId58" Type="http://schemas.openxmlformats.org/officeDocument/2006/relationships/hyperlink" Target="https://www.alcaldiabogota.gov.co/sisjur/normas/Norma1.jsp?i=70255" TargetMode="External"/><Relationship Id="rId74" Type="http://schemas.openxmlformats.org/officeDocument/2006/relationships/hyperlink" Target="https://www.alcaldiabogota.gov.co/sisjur/normas/Norma1.jsp?dt=S&amp;i=61951" TargetMode="External"/><Relationship Id="rId79" Type="http://schemas.openxmlformats.org/officeDocument/2006/relationships/hyperlink" Target="https://www.alcaldiabogota.gov.co/sisjur/normas/Norma1.jsp?i=22307" TargetMode="External"/><Relationship Id="rId102" Type="http://schemas.openxmlformats.org/officeDocument/2006/relationships/hyperlink" Target="https://www.corteconstitucional.gov.co/relatoria/2019/C-253-19.htm" TargetMode="External"/><Relationship Id="rId123" Type="http://schemas.openxmlformats.org/officeDocument/2006/relationships/hyperlink" Target="https://www.corteconstitucional.gov.co/Relatoria/2023/C-127-23.htm" TargetMode="External"/><Relationship Id="rId128" Type="http://schemas.openxmlformats.org/officeDocument/2006/relationships/hyperlink" Target="https://saludata.saludcapital.gov.co/osb/" TargetMode="External"/><Relationship Id="rId5" Type="http://schemas.openxmlformats.org/officeDocument/2006/relationships/webSettings" Target="webSettings.xml"/><Relationship Id="rId90" Type="http://schemas.openxmlformats.org/officeDocument/2006/relationships/hyperlink" Target="https://sisjur.bogotajuridica.gov.co/sisjur/normas/Norma1.jsp?i=121117" TargetMode="External"/><Relationship Id="rId95" Type="http://schemas.openxmlformats.org/officeDocument/2006/relationships/hyperlink" Target="https://www.alcaldiabogota.gov.co/sisjur/normas/Norma1.jsp?i=129860" TargetMode="External"/><Relationship Id="rId22" Type="http://schemas.openxmlformats.org/officeDocument/2006/relationships/hyperlink" Target="http://www.secretariasenado.gov.co/senado/basedoc/ley_1801_2016_pr001.html" TargetMode="External"/><Relationship Id="rId27" Type="http://schemas.openxmlformats.org/officeDocument/2006/relationships/hyperlink" Target="http://www.secretariasenado.gov.co/senado/basedoc/ley_0599_2000_pr014.html" TargetMode="External"/><Relationship Id="rId43" Type="http://schemas.openxmlformats.org/officeDocument/2006/relationships/hyperlink" Target="http://www.secretariasenado.gov.co/senado/basedoc/ley_2000_2019.html" TargetMode="External"/><Relationship Id="rId48" Type="http://schemas.openxmlformats.org/officeDocument/2006/relationships/hyperlink" Target="https://www.alcaldiabogota.gov.co/sisjur/normas/Norma1.jsp?i=66661" TargetMode="External"/><Relationship Id="rId64" Type="http://schemas.openxmlformats.org/officeDocument/2006/relationships/hyperlink" Target="https://www.alcaldiabogota.gov.co/sisjur/normas/Norma1.jsp?i=45195" TargetMode="External"/><Relationship Id="rId69" Type="http://schemas.openxmlformats.org/officeDocument/2006/relationships/hyperlink" Target="https://www.alcaldiabogota.gov.co/sisjur/normas/Norma1.jsp?i=88573" TargetMode="External"/><Relationship Id="rId113" Type="http://schemas.openxmlformats.org/officeDocument/2006/relationships/hyperlink" Target="https://www.corteconstitucional.gov.co/Relatoria/2023/C-127-23.htm" TargetMode="External"/><Relationship Id="rId118" Type="http://schemas.openxmlformats.org/officeDocument/2006/relationships/hyperlink" Target="https://www.corteconstitucional.gov.co/Relatoria/2023/C-127-23.htm" TargetMode="External"/><Relationship Id="rId80" Type="http://schemas.openxmlformats.org/officeDocument/2006/relationships/hyperlink" Target="https://www.alcaldiabogota.gov.co/sisjur/normas/Norma1.jsp?i=65633" TargetMode="External"/><Relationship Id="rId85" Type="http://schemas.openxmlformats.org/officeDocument/2006/relationships/hyperlink" Target="https://sisjur.bogotajuridica.gov.co/sisjur/normas/Norma1.jsp?i=12726" TargetMode="External"/><Relationship Id="rId12" Type="http://schemas.openxmlformats.org/officeDocument/2006/relationships/hyperlink" Target="http://www.secretariasenado.gov.co/senado/basedoc/acto_legislativo_01_2001.html" TargetMode="External"/><Relationship Id="rId17" Type="http://schemas.openxmlformats.org/officeDocument/2006/relationships/hyperlink" Target="https://www.alcaldiabogota.gov.co/sisjur/normas/Norma1.jsp?i=68690" TargetMode="External"/><Relationship Id="rId33" Type="http://schemas.openxmlformats.org/officeDocument/2006/relationships/hyperlink" Target="https://www.alcaldiabogota.gov.co/sisjur/normas/Norma1.jsp?i=86009" TargetMode="External"/><Relationship Id="rId38" Type="http://schemas.openxmlformats.org/officeDocument/2006/relationships/hyperlink" Target="https://www.alcaldiabogota.gov.co/sisjur/normas/Norma1.jsp?i=87787" TargetMode="External"/><Relationship Id="rId59" Type="http://schemas.openxmlformats.org/officeDocument/2006/relationships/hyperlink" Target="https://www.alcaldiabogota.gov.co/sisjur/normas/Norma1.jsp?i=45167" TargetMode="External"/><Relationship Id="rId103" Type="http://schemas.openxmlformats.org/officeDocument/2006/relationships/hyperlink" Target="https://www.alcaldiabogota.gov.co/sisjur/normas/Norma1.jsp?i=87787" TargetMode="External"/><Relationship Id="rId108" Type="http://schemas.openxmlformats.org/officeDocument/2006/relationships/hyperlink" Target="https://www.alcaldiabogota.gov.co/sisjur/normas/Norma1.jsp?i=87787" TargetMode="External"/><Relationship Id="rId124" Type="http://schemas.openxmlformats.org/officeDocument/2006/relationships/image" Target="media/image4.jpg"/><Relationship Id="rId129" Type="http://schemas.openxmlformats.org/officeDocument/2006/relationships/fontTable" Target="fontTable.xml"/><Relationship Id="rId54" Type="http://schemas.openxmlformats.org/officeDocument/2006/relationships/hyperlink" Target="https://www.alcaldiabogota.gov.co/sisjur/normas/Norma1.jsp?i=22307" TargetMode="External"/><Relationship Id="rId70" Type="http://schemas.openxmlformats.org/officeDocument/2006/relationships/hyperlink" Target="https://www.alcaldiabogota.gov.co/sisjur/normas/Norma1.jsp?i=66661" TargetMode="External"/><Relationship Id="rId75" Type="http://schemas.openxmlformats.org/officeDocument/2006/relationships/hyperlink" Target="http://sisjur.bogotajuridica.gov.co/sisjurMantenimiento/normas/Norma1.jsp?dt=S&amp;i=6671" TargetMode="External"/><Relationship Id="rId91" Type="http://schemas.openxmlformats.org/officeDocument/2006/relationships/hyperlink" Target="https://www.alcaldiabogota.gov.co/sisjur/normas/Norma1.jsp?i=6880" TargetMode="External"/><Relationship Id="rId96" Type="http://schemas.openxmlformats.org/officeDocument/2006/relationships/hyperlink" Target="https://www.alcaldiabogota.gov.co/sisjur/normas/Norma1.jsp?i=129860"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secretariasenado.gov.co/senado/basedoc/ley_2000_2019.html" TargetMode="External"/><Relationship Id="rId28" Type="http://schemas.openxmlformats.org/officeDocument/2006/relationships/hyperlink" Target="http://www.secretariasenado.gov.co/senado/basedoc/ley_2000_2019.html" TargetMode="External"/><Relationship Id="rId49" Type="http://schemas.openxmlformats.org/officeDocument/2006/relationships/hyperlink" Target="https://www.alcaldiabogota.gov.co/sisjur/normas/Norma1.jsp?i=56475" TargetMode="External"/><Relationship Id="rId114" Type="http://schemas.openxmlformats.org/officeDocument/2006/relationships/image" Target="media/image3.png"/><Relationship Id="rId119" Type="http://schemas.openxmlformats.org/officeDocument/2006/relationships/hyperlink" Target="https://www.corteconstitucional.gov.co/Relatoria/2023/C-127-23.htm" TargetMode="External"/><Relationship Id="rId44" Type="http://schemas.openxmlformats.org/officeDocument/2006/relationships/hyperlink" Target="https://www.alcaldiabogota.gov.co/sisjur/normas/Norma1.jsp?i=68690" TargetMode="External"/><Relationship Id="rId60" Type="http://schemas.openxmlformats.org/officeDocument/2006/relationships/hyperlink" Target="https://www.alcaldiabogota.gov.co/sisjur/normas/Norma1.jsp?i=70255" TargetMode="External"/><Relationship Id="rId65" Type="http://schemas.openxmlformats.org/officeDocument/2006/relationships/hyperlink" Target="https://www.alcaldiabogota.gov.co/sisjur/normas/Norma1.jsp?i=186" TargetMode="External"/><Relationship Id="rId81" Type="http://schemas.openxmlformats.org/officeDocument/2006/relationships/hyperlink" Target="https://www.alcaldiabogota.gov.co/sisjur/normas/Norma1.jsp?i=66661" TargetMode="External"/><Relationship Id="rId86" Type="http://schemas.openxmlformats.org/officeDocument/2006/relationships/hyperlink" Target="https://sisjur.bogotajuridica.gov.co/sisjur/normas/Norma1.jsp?i=22106" TargetMode="External"/><Relationship Id="rId130" Type="http://schemas.openxmlformats.org/officeDocument/2006/relationships/theme" Target="theme/theme1.xml"/><Relationship Id="rId13" Type="http://schemas.openxmlformats.org/officeDocument/2006/relationships/hyperlink" Target="http://www.secretariasenado.gov.co/senado/basedoc/ley_1176_2007.html" TargetMode="External"/><Relationship Id="rId18" Type="http://schemas.openxmlformats.org/officeDocument/2006/relationships/hyperlink" Target="http://sisjur.bogotajuridica.gov.co/normas/Norma1.jsp?i=86009" TargetMode="External"/><Relationship Id="rId39" Type="http://schemas.openxmlformats.org/officeDocument/2006/relationships/hyperlink" Target="https://www.alcaldiabogota.gov.co/sisjur/normas/Norma1.jsp?i=88573" TargetMode="External"/><Relationship Id="rId109" Type="http://schemas.openxmlformats.org/officeDocument/2006/relationships/hyperlink" Target="https://www.alcaldiabogota.gov.co/sisjur/normas/Norma1.jsp?i=87787" TargetMode="External"/><Relationship Id="rId34" Type="http://schemas.openxmlformats.org/officeDocument/2006/relationships/hyperlink" Target="https://www.alcaldiabogota.gov.co/sisjur/normas/Norma1.jsp?i=87787" TargetMode="External"/><Relationship Id="rId50" Type="http://schemas.openxmlformats.org/officeDocument/2006/relationships/hyperlink" Target="https://www.alcaldiabogota.gov.co/sisjur/normas/Norma1.jsp?i=66661" TargetMode="External"/><Relationship Id="rId55" Type="http://schemas.openxmlformats.org/officeDocument/2006/relationships/hyperlink" Target="https://www.alcaldiabogota.gov.co/sisjur/normas/Norma1.jsp?i=15549" TargetMode="External"/><Relationship Id="rId76" Type="http://schemas.openxmlformats.org/officeDocument/2006/relationships/hyperlink" Target="https://www.alcaldiabogota.gov.co/sisjur/normas/Norma1.jsp?i=22307" TargetMode="External"/><Relationship Id="rId97" Type="http://schemas.openxmlformats.org/officeDocument/2006/relationships/image" Target="media/image1.png"/><Relationship Id="rId104" Type="http://schemas.openxmlformats.org/officeDocument/2006/relationships/hyperlink" Target="https://www.alcaldiabogota.gov.co/sisjur/normas/Norma1.jsp?i=88573" TargetMode="External"/><Relationship Id="rId120" Type="http://schemas.openxmlformats.org/officeDocument/2006/relationships/hyperlink" Target="https://www.corteconstitucional.gov.co/Relatoria/2023/C-127-23.htm" TargetMode="External"/><Relationship Id="rId125"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www.alcaldiabogota.gov.co/sisjur/normas/Norma1.jsp?i=66661" TargetMode="External"/><Relationship Id="rId92" Type="http://schemas.openxmlformats.org/officeDocument/2006/relationships/hyperlink" Target="https://www.alcaldiabogota.gov.co/sisjur/normas/Norma1.jsp?i=62504" TargetMode="External"/><Relationship Id="rId2" Type="http://schemas.openxmlformats.org/officeDocument/2006/relationships/numbering" Target="numbering.xml"/><Relationship Id="rId29" Type="http://schemas.openxmlformats.org/officeDocument/2006/relationships/hyperlink" Target="http://www.secretariasenado.gov.co/senado/basedoc/ley_2000_2019.html" TargetMode="External"/><Relationship Id="rId24" Type="http://schemas.openxmlformats.org/officeDocument/2006/relationships/hyperlink" Target="http://www.secretariasenado.gov.co/senado/basedoc/ley_2000_2019.html" TargetMode="External"/><Relationship Id="rId40" Type="http://schemas.openxmlformats.org/officeDocument/2006/relationships/hyperlink" Target="https://www.alcaldiabogota.gov.co/sisjur/normas/Norma1.jsp?i=127698" TargetMode="External"/><Relationship Id="rId45" Type="http://schemas.openxmlformats.org/officeDocument/2006/relationships/hyperlink" Target="http://sisjur.bogotajuridica.gov.co/sisjurMantenimiento/normas/Norma1.jsp?i=66661" TargetMode="External"/><Relationship Id="rId66" Type="http://schemas.openxmlformats.org/officeDocument/2006/relationships/hyperlink" Target="https://www.alcaldiabogota.gov.co/sisjur/normas/Norma1.jsp?i=65633" TargetMode="External"/><Relationship Id="rId87" Type="http://schemas.openxmlformats.org/officeDocument/2006/relationships/hyperlink" Target="https://sisjur.bogotajuridica.gov.co/sisjur/normas/Norma1.jsp?i=22106" TargetMode="External"/><Relationship Id="rId110" Type="http://schemas.openxmlformats.org/officeDocument/2006/relationships/hyperlink" Target="https://www.alcaldiabogota.gov.co/sisjur/normas/Norma1.jsp?i=66661" TargetMode="External"/><Relationship Id="rId115" Type="http://schemas.openxmlformats.org/officeDocument/2006/relationships/hyperlink" Target="https://www.corteconstitucional.gov.co/Relatoria/2023/C-127-23.htm" TargetMode="External"/><Relationship Id="rId61" Type="http://schemas.openxmlformats.org/officeDocument/2006/relationships/hyperlink" Target="https://www.alcaldiabogota.gov.co/sisjur/normas/Norma1.jsp?i=70255" TargetMode="External"/><Relationship Id="rId82" Type="http://schemas.openxmlformats.org/officeDocument/2006/relationships/hyperlink" Target="https://www.alcaldiabogota.gov.co/sisjur/normas/Norma1.jsp?i=65633" TargetMode="External"/><Relationship Id="rId19" Type="http://schemas.openxmlformats.org/officeDocument/2006/relationships/hyperlink" Target="https://www.alcaldiabogota.gov.co/sisjur/normas/Norma1.jsp?i=151919" TargetMode="External"/><Relationship Id="rId14" Type="http://schemas.openxmlformats.org/officeDocument/2006/relationships/hyperlink" Target="http://www.secretariasenado.gov.co/senado/basedoc/constitucion_politica_1991_pr011.html" TargetMode="External"/><Relationship Id="rId30" Type="http://schemas.openxmlformats.org/officeDocument/2006/relationships/hyperlink" Target="https://www.alcaldiabogota.gov.co/sisjur/normas/Norma1.jsp?i=68690" TargetMode="External"/><Relationship Id="rId35" Type="http://schemas.openxmlformats.org/officeDocument/2006/relationships/hyperlink" Target="https://www.alcaldiabogota.gov.co/sisjur/normas/Norma1.jsp?i=66661" TargetMode="External"/><Relationship Id="rId56" Type="http://schemas.openxmlformats.org/officeDocument/2006/relationships/hyperlink" Target="https://www.alcaldiabogota.gov.co/sisjur/normas/Norma1.jsp?i=45167" TargetMode="External"/><Relationship Id="rId77" Type="http://schemas.openxmlformats.org/officeDocument/2006/relationships/hyperlink" Target="https://www.alcaldiabogota.gov.co/sisjur/normas/Norma1.jsp?i=22307" TargetMode="External"/><Relationship Id="rId100" Type="http://schemas.openxmlformats.org/officeDocument/2006/relationships/hyperlink" Target="https://www.funcionpublica.gov.co/eva/gestornormativo/norma.php?i=88843" TargetMode="External"/><Relationship Id="rId105" Type="http://schemas.openxmlformats.org/officeDocument/2006/relationships/hyperlink" Target="https://www.alcaldiabogota.gov.co/sisjur/normas/Norma1.jsp?i=66661" TargetMode="External"/><Relationship Id="rId126" Type="http://schemas.openxmlformats.org/officeDocument/2006/relationships/hyperlink" Target="https://www.paho.org/es/temas/abuso-sustancias" TargetMode="External"/><Relationship Id="rId8" Type="http://schemas.openxmlformats.org/officeDocument/2006/relationships/hyperlink" Target="http://www.secretariasenado.gov.co/senado/basedoc/constitucion_politica_1991_pr004.html" TargetMode="External"/><Relationship Id="rId51" Type="http://schemas.openxmlformats.org/officeDocument/2006/relationships/hyperlink" Target="https://www.alcaldiabogota.gov.co/sisjur/normas/Norma1.jsp?i=66661" TargetMode="External"/><Relationship Id="rId72" Type="http://schemas.openxmlformats.org/officeDocument/2006/relationships/hyperlink" Target="https://www.alcaldiabogota.gov.co/sisjur/normas/Norma1.jsp?i=81070" TargetMode="External"/><Relationship Id="rId93" Type="http://schemas.openxmlformats.org/officeDocument/2006/relationships/hyperlink" Target="https://www.alcaldiabogota.gov.co/sisjur/normas/Norma1.jsp?i=87787" TargetMode="External"/><Relationship Id="rId98" Type="http://schemas.openxmlformats.org/officeDocument/2006/relationships/image" Target="media/image2.png"/><Relationship Id="rId121" Type="http://schemas.openxmlformats.org/officeDocument/2006/relationships/hyperlink" Target="https://www.corteconstitucional.gov.co/Relatoria/2023/C-127-23.htm" TargetMode="External"/><Relationship Id="rId3" Type="http://schemas.openxmlformats.org/officeDocument/2006/relationships/styles" Target="styles.xml"/><Relationship Id="rId25" Type="http://schemas.openxmlformats.org/officeDocument/2006/relationships/hyperlink" Target="http://www.secretariasenado.gov.co/senado/basedoc/ley_1098_2006.html" TargetMode="External"/><Relationship Id="rId46" Type="http://schemas.openxmlformats.org/officeDocument/2006/relationships/hyperlink" Target="https://www.alcaldiabogota.gov.co/sisjur/normas/Norma1.jsp?i=6388" TargetMode="External"/><Relationship Id="rId67" Type="http://schemas.openxmlformats.org/officeDocument/2006/relationships/hyperlink" Target="https://www.alcaldiabogota.gov.co/sisjur/normas/Norma1.jsp?i=27591" TargetMode="External"/><Relationship Id="rId116" Type="http://schemas.openxmlformats.org/officeDocument/2006/relationships/hyperlink" Target="https://www.corteconstitucional.gov.co/Relatoria/2023/C-127-23.htm" TargetMode="External"/><Relationship Id="rId20" Type="http://schemas.openxmlformats.org/officeDocument/2006/relationships/hyperlink" Target="http://www.secretariasenado.gov.co/senado/basedoc/decreto_0555_2017.html" TargetMode="External"/><Relationship Id="rId41" Type="http://schemas.openxmlformats.org/officeDocument/2006/relationships/hyperlink" Target="http://www.secretariasenado.gov.co/senado/basedoc/ley_1566_2012.html" TargetMode="External"/><Relationship Id="rId62" Type="http://schemas.openxmlformats.org/officeDocument/2006/relationships/hyperlink" Target="https://www.alcaldiabogota.gov.co/sisjur/normas/Norma1.jsp?i=45167" TargetMode="External"/><Relationship Id="rId83" Type="http://schemas.openxmlformats.org/officeDocument/2006/relationships/hyperlink" Target="https://sisjur.bogotajuridica.gov.co/sisjur/normas/Norma1.jsp?i=120779" TargetMode="External"/><Relationship Id="rId88" Type="http://schemas.openxmlformats.org/officeDocument/2006/relationships/hyperlink" Target="https://sisjur.bogotajuridica.gov.co/sisjur/normas/Norma1.jsp?i=22106" TargetMode="External"/><Relationship Id="rId111" Type="http://schemas.openxmlformats.org/officeDocument/2006/relationships/hyperlink" Target="https://www.alcaldiabogota.gov.co/sisjur/normas/Norma1.jsp?i=66661" TargetMode="External"/><Relationship Id="rId15" Type="http://schemas.openxmlformats.org/officeDocument/2006/relationships/hyperlink" Target="http://www.secretariasenado.gov.co/senado/basedoc/constitucion_politica_1991_pr011.html" TargetMode="External"/><Relationship Id="rId36" Type="http://schemas.openxmlformats.org/officeDocument/2006/relationships/hyperlink" Target="https://www.alcaldiabogota.gov.co/sisjur/normas/Norma1.jsp?i=4162" TargetMode="External"/><Relationship Id="rId57" Type="http://schemas.openxmlformats.org/officeDocument/2006/relationships/hyperlink" Target="https://www.alcaldiabogota.gov.co/sisjur/normas/Norma1.jsp?i=45167" TargetMode="External"/><Relationship Id="rId106" Type="http://schemas.openxmlformats.org/officeDocument/2006/relationships/hyperlink" Target="https://www.alcaldiabogota.gov.co/sisjur/normas/Norma1.jsp?i=66661" TargetMode="External"/><Relationship Id="rId127" Type="http://schemas.openxmlformats.org/officeDocument/2006/relationships/hyperlink" Target="https://www.unodc.org/documents/colombia/2023/septiembre-9/ESTUDIO_DE_CONSUMO_DE_SUSTANCIAS_PSICOACTIVAS_BOGOTA_2022.pdf" TargetMode="External"/><Relationship Id="rId10" Type="http://schemas.openxmlformats.org/officeDocument/2006/relationships/hyperlink" Target="http://www.secretariasenado.gov.co/senado/basedoc/constitucion_politica_1991_pr011.html" TargetMode="External"/><Relationship Id="rId31" Type="http://schemas.openxmlformats.org/officeDocument/2006/relationships/hyperlink" Target="https://www.alcaldiabogota.gov.co/sisjur/normas/Norma1.jsp?i=72929" TargetMode="External"/><Relationship Id="rId52" Type="http://schemas.openxmlformats.org/officeDocument/2006/relationships/hyperlink" Target="https://www.alcaldiabogota.gov.co/sisjur/normas/Norma1.jsp?i=66661" TargetMode="External"/><Relationship Id="rId73" Type="http://schemas.openxmlformats.org/officeDocument/2006/relationships/hyperlink" Target="https://www.alcaldiabogota.gov.co/sisjur/normas/Norma1.jsp?dt=S&amp;i=61951" TargetMode="External"/><Relationship Id="rId78" Type="http://schemas.openxmlformats.org/officeDocument/2006/relationships/hyperlink" Target="https://www.alcaldiabogota.gov.co/sisjur/normas/Norma1.jsp?i=6671" TargetMode="External"/><Relationship Id="rId94" Type="http://schemas.openxmlformats.org/officeDocument/2006/relationships/hyperlink" Target="https://www.alcaldiabogota.gov.co/sisjur/normas/Norma1.jsp?i=129860" TargetMode="External"/><Relationship Id="rId99" Type="http://schemas.openxmlformats.org/officeDocument/2006/relationships/hyperlink" Target="https://www.funcionpublica.gov.co/eva/gestornormativo/norma.php?i=76837" TargetMode="External"/><Relationship Id="rId101" Type="http://schemas.openxmlformats.org/officeDocument/2006/relationships/hyperlink" Target="https://www.corteconstitucional.gov.co/relatoria/2019/C-253-19.htm" TargetMode="External"/><Relationship Id="rId122" Type="http://schemas.openxmlformats.org/officeDocument/2006/relationships/hyperlink" Target="https://www.corteconstitucional.gov.co/Relatoria/2023/C-127-23.htm" TargetMode="External"/><Relationship Id="rId4" Type="http://schemas.openxmlformats.org/officeDocument/2006/relationships/settings" Target="settings.xml"/><Relationship Id="rId9" Type="http://schemas.openxmlformats.org/officeDocument/2006/relationships/hyperlink" Target="http://www.secretariasenado.gov.co/senado/basedoc/constitucion_politica_1991_pr009.html" TargetMode="External"/><Relationship Id="rId26" Type="http://schemas.openxmlformats.org/officeDocument/2006/relationships/hyperlink" Target="http://www.secretariasenado.gov.co/senado/basedoc/ley_2000_2019.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DXBw0g43HkkcUaRxxfV2TCAneQ==">CgMxLjAyCWlkLmdqZGd4czIOaC5lbWphaWcydjJjemoyCmlkLjMwajB6bGwyCWguMWZvYjl0ZTIKaWQuM3pueXNoNzIKaWQuMmV0OTJwMDIJaWQudHlqY3d0MgppZC4zZHk2dmttMgppZC4xdDNoNXNmMgppZC40ZDM0b2c4MgppZC4yczhleW8xMgppZC4xN2RwOHZ1MgppZC4zcmRjcmpuMgppZC4yNmluMXJnMglpZC5sbnhiejkyCmlkLjM1bmt1bjIyCWguMWtzdjR1djIJaC40NHNpbmlvMgloLjJqeHN4cWgyCGguejMzN3lhMgloLjNqMnFxbTMyCWguMXk4MTB0dzIJaC40aTdvamhwMgloLjJ4Y3l0cGkyCWguMWNpOTN4YjIJaC4zd2h3bWw0MgloLjJibjZ3c3gyCGgucXNoNzBxMgloLjNhczRwb2o4AHIhMVhaNXlOUmdhUWZUY19Yd0JIRDl6Z0ZzVWhpVUx6ZHV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31058</Words>
  <Characters>170822</Characters>
  <Application>Microsoft Office Word</Application>
  <DocSecurity>0</DocSecurity>
  <Lines>1423</Lines>
  <Paragraphs>402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JENIFFER BRAVO ZAPATA</dc:creator>
  <cp:lastModifiedBy>ANA YOLANDA DURAN RODRIGUEZ</cp:lastModifiedBy>
  <cp:revision>2</cp:revision>
  <cp:lastPrinted>2024-01-03T17:13:00Z</cp:lastPrinted>
  <dcterms:created xsi:type="dcterms:W3CDTF">2025-04-04T20:10:00Z</dcterms:created>
  <dcterms:modified xsi:type="dcterms:W3CDTF">2025-04-04T20:10:00Z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lpwstr>2022-08-09T00:00:00Z</vt:lpwstr>
  </property>
  <property fmtid="{D5CDD505-2E9C-101B-9397-08002B2CF9AE}" pid="3" name="Creator">
    <vt:lpwstr>Microsoft® Word 2016</vt:lpwstr>
  </property>
  <property fmtid="{D5CDD505-2E9C-101B-9397-08002B2CF9AE}" pid="4" name="Created">
    <vt:lpwstr>2022-08-04T00:00:00Z</vt:lpwstr>
  </property>
</Properties>
</file>